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6F323" w14:textId="77777777" w:rsidR="002E54E6" w:rsidRPr="002E54E6" w:rsidRDefault="002E54E6" w:rsidP="002E54E6">
      <w:pPr>
        <w:rPr>
          <w:rFonts w:hint="eastAsia"/>
          <w:b/>
          <w:bCs/>
        </w:rPr>
      </w:pPr>
      <w:r w:rsidRPr="002E54E6">
        <w:rPr>
          <w:b/>
          <w:bCs/>
        </w:rPr>
        <w:t>Academic Biography</w:t>
      </w:r>
    </w:p>
    <w:p w14:paraId="5C6A68F4" w14:textId="62FD8A25" w:rsidR="002E54E6" w:rsidRPr="002E54E6" w:rsidRDefault="002E54E6" w:rsidP="002E54E6">
      <w:pPr>
        <w:rPr>
          <w:rFonts w:hint="eastAsia"/>
          <w:b/>
          <w:bCs/>
        </w:rPr>
      </w:pPr>
      <w:r w:rsidRPr="002E54E6">
        <w:t>Dr. Quan Liu is a Professor and Chief Physician in Neurosurgery, Deputy Director of the Department of Neurosurgery at the Fourth Affiliated Hospital of Guangxi Medical University.</w:t>
      </w:r>
    </w:p>
    <w:p w14:paraId="73C36975" w14:textId="6D6BD229" w:rsidR="002E54E6" w:rsidRPr="002E54E6" w:rsidRDefault="002E54E6" w:rsidP="002E54E6">
      <w:pPr>
        <w:rPr>
          <w:rFonts w:hint="eastAsia"/>
        </w:rPr>
      </w:pPr>
      <w:r w:rsidRPr="002E54E6">
        <w:rPr>
          <w:b/>
          <w:bCs/>
        </w:rPr>
        <w:t>Research Expertise</w:t>
      </w:r>
    </w:p>
    <w:p w14:paraId="2AB1ABC2" w14:textId="77777777" w:rsidR="002E54E6" w:rsidRPr="002E54E6" w:rsidRDefault="002E54E6" w:rsidP="002E54E6">
      <w:pPr>
        <w:rPr>
          <w:rFonts w:hint="eastAsia"/>
        </w:rPr>
      </w:pPr>
      <w:r w:rsidRPr="002E54E6">
        <w:t>Research focuses on precision medicine and technological innovation in neuro-oncology. Primary research interests encompass: (1) integrated diagnostics and surgical management of gliomas; (2) keyhole surgical innovations for skull base tumors; (3) artificial intelligence applications in neurosurgical diagnosis and treatment; (4) surgical management of peripheral nerve disorders; and (5) multimodal monitoring in neurocritical care. Clinical expertise includes surgical management of critically ill neurosurgical patients, stereotactic and endoscopic treatment of cerebral hemorrhage, and precision surgery for supratentorial tumors in eloquent areas.</w:t>
      </w:r>
    </w:p>
    <w:p w14:paraId="7D170DDC" w14:textId="77777777" w:rsidR="002E54E6" w:rsidRPr="002E54E6" w:rsidRDefault="002E54E6" w:rsidP="002E54E6">
      <w:pPr>
        <w:rPr>
          <w:rFonts w:hint="eastAsia"/>
        </w:rPr>
      </w:pPr>
      <w:r w:rsidRPr="002E54E6">
        <w:rPr>
          <w:b/>
          <w:bCs/>
        </w:rPr>
        <w:t>Academic Achievements</w:t>
      </w:r>
    </w:p>
    <w:p w14:paraId="787BAFB3" w14:textId="77777777" w:rsidR="002E54E6" w:rsidRPr="002E54E6" w:rsidRDefault="002E54E6" w:rsidP="002E54E6">
      <w:pPr>
        <w:rPr>
          <w:rFonts w:hint="eastAsia"/>
        </w:rPr>
      </w:pPr>
      <w:r w:rsidRPr="002E54E6">
        <w:t>Over the past five years, more than ten SCI-indexed publications have been authored, with the highest impact factor reaching 10.7. Research work has appeared in prestigious international journals including the Frontiers series, NPJ Precision Oncology, and Oncology Research. Research spans cutting-edge areas such as molecular mechanisms in gliomas, tumor microenvironment, epigenetic regulation, and machine learning applications in neurosurgical diagnostics. Leadership or participation includes 2 provincial/ministerial-level research projects and direction of 4 municipal/departmental-level projects, along with 3 national patents.</w:t>
      </w:r>
    </w:p>
    <w:p w14:paraId="3C104CC1" w14:textId="77777777" w:rsidR="002E54E6" w:rsidRPr="002E54E6" w:rsidRDefault="002E54E6" w:rsidP="002E54E6">
      <w:pPr>
        <w:rPr>
          <w:rFonts w:hint="eastAsia"/>
        </w:rPr>
      </w:pPr>
      <w:r w:rsidRPr="002E54E6">
        <w:rPr>
          <w:b/>
          <w:bCs/>
        </w:rPr>
        <w:t>Professional Appointments</w:t>
      </w:r>
    </w:p>
    <w:p w14:paraId="585D6326" w14:textId="77777777" w:rsidR="002E54E6" w:rsidRPr="002E54E6" w:rsidRDefault="002E54E6" w:rsidP="002E54E6">
      <w:pPr>
        <w:rPr>
          <w:rFonts w:hint="eastAsia"/>
        </w:rPr>
      </w:pPr>
      <w:r w:rsidRPr="002E54E6">
        <w:t>Current positions include Committee Member of the Brain Network Neurosurgery Branch of the China Association of Medical Equipment, Committee Member of the Endoscopic Treatment of Cerebral Hemorrhage Branch of the China Medical Education Association, Committee Member of the Simulation Medical Education Branch of the Guangxi Medical Doctor Association, Committee Member of the Neuro-oncology Committee of the Guangxi Anti-Cancer Association, and Vice Chairman of the Neurosurgery Branch of the Liuzhou Medical Association.</w:t>
      </w:r>
    </w:p>
    <w:p w14:paraId="11B19D3F" w14:textId="77777777" w:rsidR="002E54E6" w:rsidRPr="002E54E6" w:rsidRDefault="002E54E6" w:rsidP="002E54E6">
      <w:pPr>
        <w:rPr>
          <w:rFonts w:hint="eastAsia"/>
        </w:rPr>
      </w:pPr>
      <w:r w:rsidRPr="002E54E6">
        <w:rPr>
          <w:b/>
          <w:bCs/>
        </w:rPr>
        <w:t>Recent Publications:</w:t>
      </w:r>
    </w:p>
    <w:p w14:paraId="0186B565" w14:textId="47C67698" w:rsidR="002E54E6" w:rsidRDefault="002E54E6" w:rsidP="002E54E6">
      <w:pPr>
        <w:rPr>
          <w:rFonts w:hint="eastAsia"/>
        </w:rPr>
      </w:pPr>
      <w:r w:rsidRPr="002E54E6">
        <w:rPr>
          <w:rFonts w:hint="eastAsia"/>
          <w:b/>
          <w:bCs/>
        </w:rPr>
        <w:t>[1]</w:t>
      </w:r>
      <w:r>
        <w:rPr>
          <w:rFonts w:hint="eastAsia"/>
        </w:rPr>
        <w:t xml:space="preserve"> Wu Zhikang, Liu Meimei, Fu Jinlong, Li Jinwei, Qin Lingyao, Wu Liuying, Chen Hongmou, Yan Xianlei, </w:t>
      </w:r>
      <w:r w:rsidRPr="002E54E6">
        <w:rPr>
          <w:rFonts w:hint="eastAsia"/>
          <w:b/>
          <w:bCs/>
        </w:rPr>
        <w:t>Liu Quan</w:t>
      </w:r>
      <w:r>
        <w:rPr>
          <w:rFonts w:hint="eastAsia"/>
        </w:rPr>
        <w:t>, Zheng Jiemin. A Novel Necroptosis-Related lncRNA Signature for Predicting Prognosis and Immune Response of Glioma. Biomed Res Int. 2022. 2022: 3742447.</w:t>
      </w:r>
    </w:p>
    <w:p w14:paraId="27E9A3E8" w14:textId="4418BD35" w:rsidR="002E54E6" w:rsidRDefault="002E54E6" w:rsidP="002E54E6">
      <w:pPr>
        <w:rPr>
          <w:rFonts w:hint="eastAsia"/>
        </w:rPr>
      </w:pPr>
      <w:r w:rsidRPr="002E54E6">
        <w:rPr>
          <w:rFonts w:hint="eastAsia"/>
          <w:b/>
          <w:bCs/>
        </w:rPr>
        <w:t>[2]</w:t>
      </w:r>
      <w:r>
        <w:rPr>
          <w:rFonts w:hint="eastAsia"/>
        </w:rPr>
        <w:t xml:space="preserve"> Xiao Zhenyong, Li Jinwei, Liang Cong, Liu Yamei, Zhang Yuxiu, Zhang Yuxia,</w:t>
      </w:r>
      <w:r w:rsidRPr="002E54E6">
        <w:rPr>
          <w:rFonts w:hint="eastAsia"/>
          <w:b/>
          <w:bCs/>
        </w:rPr>
        <w:t xml:space="preserve"> Liu Quan,</w:t>
      </w:r>
      <w:r>
        <w:rPr>
          <w:rFonts w:hint="eastAsia"/>
        </w:rPr>
        <w:t xml:space="preserve"> Yan Xianlei. Identification of M5c regulator-medicated methylation modification patterns for prognosis and immune microenvironment in glioma. Aging (Albany NY). 2023. 15(21): 12275-12295.</w:t>
      </w:r>
    </w:p>
    <w:p w14:paraId="4941C84F" w14:textId="02DCE2F5" w:rsidR="002E54E6" w:rsidRDefault="002E54E6" w:rsidP="002E54E6">
      <w:pPr>
        <w:rPr>
          <w:rFonts w:hint="eastAsia"/>
        </w:rPr>
      </w:pPr>
      <w:r w:rsidRPr="002E54E6">
        <w:rPr>
          <w:rFonts w:hint="eastAsia"/>
          <w:b/>
          <w:bCs/>
        </w:rPr>
        <w:t>[3]</w:t>
      </w:r>
      <w:r>
        <w:rPr>
          <w:rFonts w:hint="eastAsia"/>
        </w:rPr>
        <w:t xml:space="preserve"> Yan Xianlei, Li Jinwei, Zhang Yang, Liang Cong, Liang Pengcheng, Li Tao, Liu Quan, Hui Xuhui. Alterations in cellular metabolism under different grades of glioma staging identified based on a multi-omics analysis strategy. Front Endocrinol (Lausanne). 2023. 14: 1292944.</w:t>
      </w:r>
    </w:p>
    <w:p w14:paraId="7BAE598C" w14:textId="1435AFB7" w:rsidR="002E54E6" w:rsidRDefault="002E54E6" w:rsidP="002E54E6">
      <w:pPr>
        <w:rPr>
          <w:rFonts w:hint="eastAsia"/>
        </w:rPr>
      </w:pPr>
      <w:r w:rsidRPr="002E54E6">
        <w:rPr>
          <w:rFonts w:hint="eastAsia"/>
          <w:b/>
          <w:bCs/>
        </w:rPr>
        <w:t>[4]</w:t>
      </w:r>
      <w:r>
        <w:rPr>
          <w:rFonts w:hint="eastAsia"/>
        </w:rPr>
        <w:t xml:space="preserve"> Hou Qinhan, Chen Hongmou, </w:t>
      </w:r>
      <w:r w:rsidRPr="002E54E6">
        <w:rPr>
          <w:rFonts w:hint="eastAsia"/>
          <w:b/>
          <w:bCs/>
        </w:rPr>
        <w:t>Liu Quan</w:t>
      </w:r>
      <w:r>
        <w:rPr>
          <w:rFonts w:hint="eastAsia"/>
        </w:rPr>
        <w:t>, Yan Xianlei. FGF10 Attenuates Experimental Traumatic Brain Injury through TLR4/MyD88/NF-κB Pathway. Cells Tissues Organs. 2020. 209(4-6): 248-256.</w:t>
      </w:r>
    </w:p>
    <w:p w14:paraId="6AAE4618" w14:textId="57884D29" w:rsidR="002E54E6" w:rsidRDefault="002E54E6" w:rsidP="002E54E6">
      <w:pPr>
        <w:rPr>
          <w:rFonts w:hint="eastAsia"/>
        </w:rPr>
      </w:pPr>
      <w:r w:rsidRPr="002E54E6">
        <w:rPr>
          <w:rFonts w:hint="eastAsia"/>
          <w:b/>
          <w:bCs/>
        </w:rPr>
        <w:t>[5]</w:t>
      </w:r>
      <w:r>
        <w:rPr>
          <w:rFonts w:hint="eastAsia"/>
        </w:rPr>
        <w:t xml:space="preserve"> Li Jinwei, Zhang Yang, Lu Tanli, Liang Rui, Wu Zhikang, Liu Meimei, Qin Linyao, Chen </w:t>
      </w:r>
      <w:r>
        <w:rPr>
          <w:rFonts w:hint="eastAsia"/>
        </w:rPr>
        <w:lastRenderedPageBreak/>
        <w:t xml:space="preserve">Hongmou, Yan Xianlei, Deng Shan, Zheng Jiemin, </w:t>
      </w:r>
      <w:r w:rsidRPr="002E54E6">
        <w:rPr>
          <w:rFonts w:hint="eastAsia"/>
          <w:b/>
          <w:bCs/>
        </w:rPr>
        <w:t>Liu Quan</w:t>
      </w:r>
      <w:r>
        <w:rPr>
          <w:rFonts w:hint="eastAsia"/>
        </w:rPr>
        <w:t>. Identification of diagnostic genes for both Alzheimer's disease and Metabolic syndrome by the machine learning algorithm. Front Immunol. 2022. 13: 1037318.</w:t>
      </w:r>
    </w:p>
    <w:p w14:paraId="3AC3F8D6" w14:textId="71F71B6C" w:rsidR="002E54E6" w:rsidRDefault="002E54E6" w:rsidP="002E54E6">
      <w:pPr>
        <w:rPr>
          <w:rFonts w:hint="eastAsia"/>
        </w:rPr>
      </w:pPr>
      <w:r w:rsidRPr="002E54E6">
        <w:rPr>
          <w:rFonts w:hint="eastAsia"/>
          <w:b/>
          <w:bCs/>
        </w:rPr>
        <w:t>[6]</w:t>
      </w:r>
      <w:r>
        <w:rPr>
          <w:rFonts w:hint="eastAsia"/>
        </w:rPr>
        <w:t xml:space="preserve"> Li Jinwei, Zhang Yang, Liang Cong, Yan Xianlei, Hui Xuhui,</w:t>
      </w:r>
      <w:r w:rsidRPr="002E54E6">
        <w:rPr>
          <w:rFonts w:hint="eastAsia"/>
          <w:b/>
          <w:bCs/>
        </w:rPr>
        <w:t xml:space="preserve"> Liu Quan</w:t>
      </w:r>
      <w:r>
        <w:rPr>
          <w:rFonts w:hint="eastAsia"/>
        </w:rPr>
        <w:t>. Advancing precision medicine in gliomas through single-cell sequencing: unveiling the complex tumor microenvironment. Front Cell Dev Biol. 2024. 12: 1396836.</w:t>
      </w:r>
    </w:p>
    <w:p w14:paraId="0B2DF5B9" w14:textId="6FAE5D92" w:rsidR="002E54E6" w:rsidRDefault="002E54E6" w:rsidP="002E54E6">
      <w:pPr>
        <w:rPr>
          <w:rFonts w:hint="eastAsia"/>
        </w:rPr>
      </w:pPr>
      <w:r w:rsidRPr="002E54E6">
        <w:rPr>
          <w:rFonts w:hint="eastAsia"/>
          <w:b/>
          <w:bCs/>
        </w:rPr>
        <w:t>[7]</w:t>
      </w:r>
      <w:r>
        <w:rPr>
          <w:rFonts w:hint="eastAsia"/>
        </w:rPr>
        <w:t xml:space="preserve"> Li Jinwei, Yan Xianlei, Liang Cong, Chen Hongmou, Liu Meimei, Wu Zhikang, Zheng Jiemin, Dang Junsun, La Xiaojin,</w:t>
      </w:r>
      <w:r w:rsidRPr="002E54E6">
        <w:rPr>
          <w:rFonts w:hint="eastAsia"/>
          <w:b/>
          <w:bCs/>
        </w:rPr>
        <w:t xml:space="preserve"> Liu Quan</w:t>
      </w:r>
      <w:r>
        <w:rPr>
          <w:rFonts w:hint="eastAsia"/>
        </w:rPr>
        <w:t>. Comprehensive Analysis of the Differential Expression and Prognostic Value of Histone Deacetylases in Glioma. Front Cell Dev Biol. 2022. 10: 840759.</w:t>
      </w:r>
    </w:p>
    <w:p w14:paraId="7D3874B9" w14:textId="385B775B" w:rsidR="002E54E6" w:rsidRDefault="002E54E6" w:rsidP="002E54E6">
      <w:pPr>
        <w:rPr>
          <w:rFonts w:hint="eastAsia"/>
        </w:rPr>
      </w:pPr>
      <w:r w:rsidRPr="002E54E6">
        <w:rPr>
          <w:rFonts w:hint="eastAsia"/>
          <w:b/>
          <w:bCs/>
        </w:rPr>
        <w:t>[8]</w:t>
      </w:r>
      <w:r>
        <w:rPr>
          <w:rFonts w:hint="eastAsia"/>
        </w:rPr>
        <w:t xml:space="preserve"> Li Jinwei, Liang Cong, Dang Junsun, Zhang Yang, Chen Hongmou, Yan Xianlei,</w:t>
      </w:r>
      <w:r w:rsidRPr="002E54E6">
        <w:rPr>
          <w:rFonts w:hint="eastAsia"/>
          <w:b/>
          <w:bCs/>
        </w:rPr>
        <w:t xml:space="preserve"> Liu Quan</w:t>
      </w:r>
      <w:r>
        <w:rPr>
          <w:rFonts w:hint="eastAsia"/>
        </w:rPr>
        <w:t>. Predicting the 90-day prognosis of stereotactic brain hemorrhage patients by multiple machine learning using radiomic features combined with clinical features. Front Surg. 2024. 11: 1344263.</w:t>
      </w:r>
    </w:p>
    <w:p w14:paraId="79E2D816" w14:textId="64659DE8" w:rsidR="002E54E6" w:rsidRDefault="002E54E6" w:rsidP="002E54E6">
      <w:pPr>
        <w:rPr>
          <w:rFonts w:hint="eastAsia"/>
        </w:rPr>
      </w:pPr>
      <w:r w:rsidRPr="002E54E6">
        <w:rPr>
          <w:rFonts w:hint="eastAsia"/>
          <w:b/>
          <w:bCs/>
        </w:rPr>
        <w:t>[9]</w:t>
      </w:r>
      <w:r>
        <w:rPr>
          <w:rFonts w:hint="eastAsia"/>
        </w:rPr>
        <w:t xml:space="preserve"> Li Jinwei, Zhang Yang, You Yanwei, Huang Zhiwei, Wu Liya, Liang Cong, Weng Baohui, Pan Liya, Huang Yan, Huang Yushen, Yang Mengqi, Lu Mengting, Li Rui, Yan Xianlei,</w:t>
      </w:r>
      <w:r w:rsidRPr="002E54E6">
        <w:rPr>
          <w:rFonts w:hint="eastAsia"/>
          <w:b/>
          <w:bCs/>
        </w:rPr>
        <w:t xml:space="preserve"> Liu Quan</w:t>
      </w:r>
      <w:r>
        <w:rPr>
          <w:rFonts w:hint="eastAsia"/>
        </w:rPr>
        <w:t>. Unraveling the mechanisms of NK cell dysfunction in aging and Alzheimer's disease: insights from GWAS and single-cell transcriptomics. Front Immunol. 2024. 15: 1360687.</w:t>
      </w:r>
    </w:p>
    <w:p w14:paraId="0E88C000" w14:textId="77777777" w:rsidR="002E54E6" w:rsidRDefault="002E54E6" w:rsidP="002E54E6">
      <w:pPr>
        <w:rPr>
          <w:rFonts w:hint="eastAsia"/>
        </w:rPr>
      </w:pPr>
      <w:r w:rsidRPr="002E54E6">
        <w:rPr>
          <w:rFonts w:hint="eastAsia"/>
          <w:b/>
          <w:bCs/>
        </w:rPr>
        <w:t>[10]</w:t>
      </w:r>
      <w:r>
        <w:rPr>
          <w:rFonts w:hint="eastAsia"/>
        </w:rPr>
        <w:tab/>
        <w:t>Li Jinwei, Long Shengrong, Yang Zhang, Wei Wei, Yu Shuangqi,</w:t>
      </w:r>
      <w:r w:rsidRPr="002E54E6">
        <w:rPr>
          <w:rFonts w:hint="eastAsia"/>
          <w:b/>
          <w:bCs/>
        </w:rPr>
        <w:t xml:space="preserve"> Liu Quan</w:t>
      </w:r>
      <w:r>
        <w:rPr>
          <w:rFonts w:hint="eastAsia"/>
        </w:rPr>
        <w:t>, Hui Xuhui, Li Xiang, Wang Yinyan. Single-cell transcriptomics reveals IRF7 regulation of the tumor microenvironment in isocitrate dehydrogenase wild-type glioma. MedComm (2020). 2024. 5(11): e754.</w:t>
      </w:r>
    </w:p>
    <w:p w14:paraId="2F3A8B28" w14:textId="77777777" w:rsidR="002E54E6" w:rsidRDefault="002E54E6" w:rsidP="002E54E6">
      <w:pPr>
        <w:rPr>
          <w:rFonts w:hint="eastAsia"/>
        </w:rPr>
      </w:pPr>
      <w:r w:rsidRPr="002E54E6">
        <w:rPr>
          <w:rFonts w:hint="eastAsia"/>
          <w:b/>
          <w:bCs/>
        </w:rPr>
        <w:t>[11]</w:t>
      </w:r>
      <w:r>
        <w:rPr>
          <w:rFonts w:hint="eastAsia"/>
        </w:rPr>
        <w:tab/>
        <w:t xml:space="preserve">Li Jinwei, Long Shengrong, Zhang Yang, Wei Wei, Yu Shuangqi, </w:t>
      </w:r>
      <w:r w:rsidRPr="00E728B2">
        <w:rPr>
          <w:rFonts w:hint="eastAsia"/>
          <w:b/>
          <w:bCs/>
        </w:rPr>
        <w:t>Liu Quan</w:t>
      </w:r>
      <w:r>
        <w:rPr>
          <w:rFonts w:hint="eastAsia"/>
        </w:rPr>
        <w:t xml:space="preserve">, Hui Xuhui, Li Xiang, Wang Yinyan. Molecular mechanisms and diagnostic model of glioma-related epilepsy. </w:t>
      </w:r>
      <w:r w:rsidRPr="00E728B2">
        <w:rPr>
          <w:rFonts w:hint="eastAsia"/>
        </w:rPr>
        <w:t>NPJ Precis Oncol.</w:t>
      </w:r>
      <w:r>
        <w:rPr>
          <w:rFonts w:hint="eastAsia"/>
        </w:rPr>
        <w:t xml:space="preserve"> 2024. 8(1): 223.</w:t>
      </w:r>
    </w:p>
    <w:p w14:paraId="73F9381F" w14:textId="77777777" w:rsidR="002E54E6" w:rsidRDefault="002E54E6" w:rsidP="002E54E6">
      <w:pPr>
        <w:rPr>
          <w:rFonts w:hint="eastAsia"/>
        </w:rPr>
      </w:pPr>
      <w:r w:rsidRPr="002E54E6">
        <w:rPr>
          <w:rFonts w:hint="eastAsia"/>
          <w:b/>
          <w:bCs/>
        </w:rPr>
        <w:t>[12]</w:t>
      </w:r>
      <w:r w:rsidRPr="002E54E6">
        <w:rPr>
          <w:rFonts w:hint="eastAsia"/>
          <w:b/>
          <w:bCs/>
        </w:rPr>
        <w:tab/>
      </w:r>
      <w:r>
        <w:rPr>
          <w:rFonts w:hint="eastAsia"/>
        </w:rPr>
        <w:t xml:space="preserve">Zhang Yang, Qin Nannan, Wang Xijun, Liang Rui, </w:t>
      </w:r>
      <w:r w:rsidRPr="002E54E6">
        <w:rPr>
          <w:rFonts w:hint="eastAsia"/>
          <w:b/>
          <w:bCs/>
        </w:rPr>
        <w:t>Liu Quan</w:t>
      </w:r>
      <w:r>
        <w:rPr>
          <w:rFonts w:hint="eastAsia"/>
        </w:rPr>
        <w:t>, Geng Ruoyi, Jiang Tianxiao, Liu Yunfei, Li Jinwei. Glycogen metabolism-mediated intercellular communication in the tumor microenvironment influences liver cancer prognosis. Oncol Res. 2024. 32(3): 563-576.</w:t>
      </w:r>
    </w:p>
    <w:p w14:paraId="3AEAFF1D" w14:textId="77777777" w:rsidR="002E54E6" w:rsidRDefault="002E54E6" w:rsidP="002E54E6">
      <w:pPr>
        <w:rPr>
          <w:rFonts w:hint="eastAsia"/>
        </w:rPr>
      </w:pPr>
      <w:r w:rsidRPr="002E54E6">
        <w:rPr>
          <w:rFonts w:hint="eastAsia"/>
          <w:b/>
          <w:bCs/>
        </w:rPr>
        <w:t>[13]</w:t>
      </w:r>
      <w:r w:rsidRPr="002E54E6">
        <w:rPr>
          <w:rFonts w:hint="eastAsia"/>
          <w:b/>
          <w:bCs/>
        </w:rPr>
        <w:tab/>
      </w:r>
      <w:r>
        <w:rPr>
          <w:rFonts w:hint="eastAsia"/>
        </w:rPr>
        <w:t>Zhang Yang, Li Jinwei, Chen Lihua, Liang Rui,</w:t>
      </w:r>
      <w:r w:rsidRPr="002E54E6">
        <w:rPr>
          <w:rFonts w:hint="eastAsia"/>
          <w:sz w:val="32"/>
          <w:szCs w:val="36"/>
        </w:rPr>
        <w:t xml:space="preserve"> </w:t>
      </w:r>
      <w:r w:rsidRPr="002E54E6">
        <w:rPr>
          <w:rFonts w:hint="eastAsia"/>
          <w:b/>
          <w:bCs/>
        </w:rPr>
        <w:t>Liu Quan</w:t>
      </w:r>
      <w:r>
        <w:rPr>
          <w:rFonts w:hint="eastAsia"/>
        </w:rPr>
        <w:t>, Wang Zhiyi. Identification of co-diagnostic effect genes for aortic dissection and metabolic syndrome by multiple machine learning algorithms. Sci Rep. 2023. 13(1): 14794.</w:t>
      </w:r>
    </w:p>
    <w:p w14:paraId="3388236B" w14:textId="6449CD21" w:rsidR="00FA321D" w:rsidRDefault="002E54E6" w:rsidP="002E54E6">
      <w:pPr>
        <w:rPr>
          <w:rFonts w:hint="eastAsia"/>
        </w:rPr>
      </w:pPr>
      <w:r w:rsidRPr="002E54E6">
        <w:rPr>
          <w:rFonts w:hint="eastAsia"/>
          <w:b/>
          <w:bCs/>
        </w:rPr>
        <w:t>[14]</w:t>
      </w:r>
      <w:r w:rsidRPr="002E54E6">
        <w:rPr>
          <w:rFonts w:hint="eastAsia"/>
          <w:b/>
          <w:bCs/>
        </w:rPr>
        <w:tab/>
        <w:t>Liu Quan</w:t>
      </w:r>
      <w:r>
        <w:rPr>
          <w:rFonts w:hint="eastAsia"/>
        </w:rPr>
        <w:t>， Wang Xiao-Yu, Qin Yuan-Yuan, Yan Xian-Lei, Chen Hong-Mou, Huang Qi-Dan, Chen Jia-Kang, Zheng Jie-Min. SPOCD1 promotes the proliferation and metastasis of glioma cells by up-regulating PTX3. Am J Cancer Res. 2018. 8(4): 624-635.</w:t>
      </w:r>
    </w:p>
    <w:sectPr w:rsidR="00FA321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Y_MEDREF_DOCUID" w:val="{CB1212A7-8E8C-484D-8197-5A5ADAB30F06}"/>
    <w:docVar w:name="KY_MEDREF_VERSION" w:val="3"/>
  </w:docVars>
  <w:rsids>
    <w:rsidRoot w:val="00C3540B"/>
    <w:rsid w:val="002E54E6"/>
    <w:rsid w:val="003068F1"/>
    <w:rsid w:val="003648B4"/>
    <w:rsid w:val="006A1AC8"/>
    <w:rsid w:val="006D6142"/>
    <w:rsid w:val="008565BD"/>
    <w:rsid w:val="00C3540B"/>
    <w:rsid w:val="00E135B2"/>
    <w:rsid w:val="00E728B2"/>
    <w:rsid w:val="00FA32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A2B7A4"/>
  <w15:chartTrackingRefBased/>
  <w15:docId w15:val="{F9F43973-90A7-4FEE-A621-273984D65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3540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3540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3540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C3540B"/>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C3540B"/>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C3540B"/>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C3540B"/>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3540B"/>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C3540B"/>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3540B"/>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C3540B"/>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3540B"/>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3540B"/>
    <w:rPr>
      <w:rFonts w:cstheme="majorBidi"/>
      <w:color w:val="0F4761" w:themeColor="accent1" w:themeShade="BF"/>
      <w:sz w:val="28"/>
      <w:szCs w:val="28"/>
    </w:rPr>
  </w:style>
  <w:style w:type="character" w:customStyle="1" w:styleId="50">
    <w:name w:val="标题 5 字符"/>
    <w:basedOn w:val="a0"/>
    <w:link w:val="5"/>
    <w:uiPriority w:val="9"/>
    <w:semiHidden/>
    <w:rsid w:val="00C3540B"/>
    <w:rPr>
      <w:rFonts w:cstheme="majorBidi"/>
      <w:color w:val="0F4761" w:themeColor="accent1" w:themeShade="BF"/>
      <w:sz w:val="24"/>
      <w:szCs w:val="24"/>
    </w:rPr>
  </w:style>
  <w:style w:type="character" w:customStyle="1" w:styleId="60">
    <w:name w:val="标题 6 字符"/>
    <w:basedOn w:val="a0"/>
    <w:link w:val="6"/>
    <w:uiPriority w:val="9"/>
    <w:semiHidden/>
    <w:rsid w:val="00C3540B"/>
    <w:rPr>
      <w:rFonts w:cstheme="majorBidi"/>
      <w:b/>
      <w:bCs/>
      <w:color w:val="0F4761" w:themeColor="accent1" w:themeShade="BF"/>
    </w:rPr>
  </w:style>
  <w:style w:type="character" w:customStyle="1" w:styleId="70">
    <w:name w:val="标题 7 字符"/>
    <w:basedOn w:val="a0"/>
    <w:link w:val="7"/>
    <w:uiPriority w:val="9"/>
    <w:semiHidden/>
    <w:rsid w:val="00C3540B"/>
    <w:rPr>
      <w:rFonts w:cstheme="majorBidi"/>
      <w:b/>
      <w:bCs/>
      <w:color w:val="595959" w:themeColor="text1" w:themeTint="A6"/>
    </w:rPr>
  </w:style>
  <w:style w:type="character" w:customStyle="1" w:styleId="80">
    <w:name w:val="标题 8 字符"/>
    <w:basedOn w:val="a0"/>
    <w:link w:val="8"/>
    <w:uiPriority w:val="9"/>
    <w:semiHidden/>
    <w:rsid w:val="00C3540B"/>
    <w:rPr>
      <w:rFonts w:cstheme="majorBidi"/>
      <w:color w:val="595959" w:themeColor="text1" w:themeTint="A6"/>
    </w:rPr>
  </w:style>
  <w:style w:type="character" w:customStyle="1" w:styleId="90">
    <w:name w:val="标题 9 字符"/>
    <w:basedOn w:val="a0"/>
    <w:link w:val="9"/>
    <w:uiPriority w:val="9"/>
    <w:semiHidden/>
    <w:rsid w:val="00C3540B"/>
    <w:rPr>
      <w:rFonts w:eastAsiaTheme="majorEastAsia" w:cstheme="majorBidi"/>
      <w:color w:val="595959" w:themeColor="text1" w:themeTint="A6"/>
    </w:rPr>
  </w:style>
  <w:style w:type="paragraph" w:styleId="a3">
    <w:name w:val="Title"/>
    <w:basedOn w:val="a"/>
    <w:next w:val="a"/>
    <w:link w:val="a4"/>
    <w:uiPriority w:val="10"/>
    <w:qFormat/>
    <w:rsid w:val="00C3540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3540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3540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3540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3540B"/>
    <w:pPr>
      <w:spacing w:before="160" w:after="160"/>
      <w:jc w:val="center"/>
    </w:pPr>
    <w:rPr>
      <w:i/>
      <w:iCs/>
      <w:color w:val="404040" w:themeColor="text1" w:themeTint="BF"/>
    </w:rPr>
  </w:style>
  <w:style w:type="character" w:customStyle="1" w:styleId="a8">
    <w:name w:val="引用 字符"/>
    <w:basedOn w:val="a0"/>
    <w:link w:val="a7"/>
    <w:uiPriority w:val="29"/>
    <w:rsid w:val="00C3540B"/>
    <w:rPr>
      <w:i/>
      <w:iCs/>
      <w:color w:val="404040" w:themeColor="text1" w:themeTint="BF"/>
    </w:rPr>
  </w:style>
  <w:style w:type="paragraph" w:styleId="a9">
    <w:name w:val="List Paragraph"/>
    <w:basedOn w:val="a"/>
    <w:uiPriority w:val="34"/>
    <w:qFormat/>
    <w:rsid w:val="00C3540B"/>
    <w:pPr>
      <w:ind w:left="720"/>
      <w:contextualSpacing/>
    </w:pPr>
  </w:style>
  <w:style w:type="character" w:styleId="aa">
    <w:name w:val="Intense Emphasis"/>
    <w:basedOn w:val="a0"/>
    <w:uiPriority w:val="21"/>
    <w:qFormat/>
    <w:rsid w:val="00C3540B"/>
    <w:rPr>
      <w:i/>
      <w:iCs/>
      <w:color w:val="0F4761" w:themeColor="accent1" w:themeShade="BF"/>
    </w:rPr>
  </w:style>
  <w:style w:type="paragraph" w:styleId="ab">
    <w:name w:val="Intense Quote"/>
    <w:basedOn w:val="a"/>
    <w:next w:val="a"/>
    <w:link w:val="ac"/>
    <w:uiPriority w:val="30"/>
    <w:qFormat/>
    <w:rsid w:val="00C354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3540B"/>
    <w:rPr>
      <w:i/>
      <w:iCs/>
      <w:color w:val="0F4761" w:themeColor="accent1" w:themeShade="BF"/>
    </w:rPr>
  </w:style>
  <w:style w:type="character" w:styleId="ad">
    <w:name w:val="Intense Reference"/>
    <w:basedOn w:val="a0"/>
    <w:uiPriority w:val="32"/>
    <w:qFormat/>
    <w:rsid w:val="00C3540B"/>
    <w:rPr>
      <w:b/>
      <w:bCs/>
      <w:smallCaps/>
      <w:color w:val="0F4761" w:themeColor="accent1" w:themeShade="BF"/>
      <w:spacing w:val="5"/>
    </w:rPr>
  </w:style>
  <w:style w:type="paragraph" w:styleId="ae">
    <w:name w:val="Normal (Web)"/>
    <w:basedOn w:val="a"/>
    <w:uiPriority w:val="99"/>
    <w:semiHidden/>
    <w:unhideWhenUsed/>
    <w:rsid w:val="002E54E6"/>
    <w:pPr>
      <w:widowControl/>
      <w:spacing w:before="100" w:beforeAutospacing="1" w:after="100" w:afterAutospacing="1"/>
      <w:jc w:val="left"/>
    </w:pPr>
    <w:rPr>
      <w:rFonts w:ascii="宋体" w:eastAsia="宋体" w:hAnsi="宋体" w:cs="宋体"/>
      <w:kern w:val="0"/>
      <w:sz w:val="24"/>
      <w:szCs w:val="24"/>
    </w:rPr>
  </w:style>
  <w:style w:type="character" w:styleId="af">
    <w:name w:val="Strong"/>
    <w:basedOn w:val="a0"/>
    <w:uiPriority w:val="22"/>
    <w:qFormat/>
    <w:rsid w:val="002E54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801</Words>
  <Characters>4972</Characters>
  <Application>Microsoft Office Word</Application>
  <DocSecurity>0</DocSecurity>
  <Lines>78</Lines>
  <Paragraphs>26</Paragraphs>
  <ScaleCrop>false</ScaleCrop>
  <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 liu</dc:creator>
  <cp:keywords/>
  <dc:description/>
  <cp:lastModifiedBy>quan liu</cp:lastModifiedBy>
  <cp:revision>5</cp:revision>
  <dcterms:created xsi:type="dcterms:W3CDTF">2025-10-16T16:41:00Z</dcterms:created>
  <dcterms:modified xsi:type="dcterms:W3CDTF">2025-10-17T01:30:00Z</dcterms:modified>
</cp:coreProperties>
</file>