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F3A5F"/>
          <w:sz w:val="44"/>
          <w:szCs w:val="44"/>
        </w:rPr>
        <w:t xml:space="preserve">MITALI RATHI</w:t>
      </w:r>
    </w:p>
    <w:p>
      <w:pPr>
        <w:spacing w:after="80"/>
        <w:jc w:val="center"/>
      </w:pPr>
      <w:r>
        <w:rPr>
          <w:rFonts w:ascii="Calibri" w:cs="Calibri" w:eastAsia="Calibri" w:hAnsi="Calibri"/>
          <w:i/>
          <w:iCs/>
          <w:color w:val="555555"/>
          <w:sz w:val="22"/>
          <w:szCs w:val="22"/>
        </w:rPr>
        <w:t xml:space="preserve">Freelance Scientific Writer  |  Research Consultant  |  PhD Assistant  |  Technical Content Expert</w:t>
      </w:r>
    </w:p>
    <w:p>
      <w:pPr>
        <w:pBdr>
          <w:bottom w:val="single" w:color="1F3A5F" w:sz="6" w:space="6"/>
        </w:pBdr>
        <w:spacing w:after="200"/>
        <w:jc w:val="center"/>
      </w:pPr>
      <w:r>
        <w:rPr>
          <w:rFonts w:ascii="Calibri" w:cs="Calibri" w:eastAsia="Calibri" w:hAnsi="Calibri"/>
          <w:color w:val="555555"/>
          <w:sz w:val="20"/>
          <w:szCs w:val="20"/>
        </w:rPr>
        <w:t xml:space="preserve">mitalidaga.95@gmail.com</w:t>
      </w:r>
      <w:r>
        <w:rPr>
          <w:rFonts w:ascii="Calibri" w:cs="Calibri" w:eastAsia="Calibri" w:hAnsi="Calibri"/>
          <w:color w:val="555555"/>
          <w:sz w:val="20"/>
          <w:szCs w:val="20"/>
        </w:rPr>
        <w:t xml:space="preserve">   |   </w:t>
      </w:r>
      <w:r>
        <w:rPr>
          <w:rFonts w:ascii="Calibri" w:cs="Calibri" w:eastAsia="Calibri" w:hAnsi="Calibri"/>
          <w:color w:val="555555"/>
          <w:sz w:val="20"/>
          <w:szCs w:val="20"/>
        </w:rPr>
        <w:t xml:space="preserve">mdaga.phd2021.ece@nitrr.ac.in</w:t>
      </w:r>
      <w:r>
        <w:rPr>
          <w:rFonts w:ascii="Calibri" w:cs="Calibri" w:eastAsia="Calibri" w:hAnsi="Calibri"/>
          <w:color w:val="555555"/>
          <w:sz w:val="20"/>
          <w:szCs w:val="20"/>
        </w:rPr>
        <w:t xml:space="preserve">   |   </w:t>
      </w:r>
      <w:r>
        <w:rPr>
          <w:rFonts w:ascii="Calibri" w:cs="Calibri" w:eastAsia="Calibri" w:hAnsi="Calibri"/>
          <w:color w:val="555555"/>
          <w:sz w:val="20"/>
          <w:szCs w:val="20"/>
        </w:rPr>
        <w:t xml:space="preserve">+91 8253012333</w:t>
      </w:r>
    </w:p>
    <w:p>
      <w:pPr>
        <w:pBdr>
          <w:bottom w:val="single" w:color="1F3A5F" w:sz="4" w:space="2"/>
        </w:pBdr>
        <w:spacing w:after="100" w:before="220"/>
      </w:pPr>
      <w:r>
        <w:rPr>
          <w:rFonts w:ascii="Calibri" w:cs="Calibri" w:eastAsia="Calibri" w:hAnsi="Calibri"/>
          <w:b/>
          <w:bCs/>
          <w:color w:val="1F3A5F"/>
          <w:sz w:val="24"/>
          <w:szCs w:val="24"/>
        </w:rPr>
        <w:t xml:space="preserve">PROFESSIONAL SUMMARY</w:t>
      </w:r>
    </w:p>
    <w:p>
      <w:pPr>
        <w:spacing w:after="90"/>
      </w:pPr>
      <w:r>
        <w:rPr>
          <w:rFonts w:ascii="Calibri" w:cs="Calibri" w:eastAsia="Calibri" w:hAnsi="Calibri"/>
          <w:color w:val="222222"/>
          <w:sz w:val="21"/>
          <w:szCs w:val="21"/>
        </w:rPr>
        <w:t xml:space="preserve">Ph.D. in Electronics &amp; Communication Engineering with 9 publications (7 SCI-indexed journals, 1 Scopus-indexed journal, 1 book chapter) and 3 IEEE conference papers in semiconductor devices, FinFET technology, and emerging memory design. Experienced in manuscript writing, technical editing, literature reviews, thesis writing, reviewer response preparation, and journal formatting (IEEE, Springer, Elsevier, Taylor &amp; Francis). Comfortable using AI tools (ChatGPT) to accelerate drafting and editing workflows without compromising technical accuracy.</w:t>
      </w:r>
    </w:p>
    <w:p>
      <w:pPr>
        <w:pBdr>
          <w:bottom w:val="single" w:color="1F3A5F" w:sz="4" w:space="2"/>
        </w:pBdr>
        <w:spacing w:after="100" w:before="220"/>
      </w:pPr>
      <w:r>
        <w:rPr>
          <w:rFonts w:ascii="Calibri" w:cs="Calibri" w:eastAsia="Calibri" w:hAnsi="Calibri"/>
          <w:b/>
          <w:bCs/>
          <w:color w:val="1F3A5F"/>
          <w:sz w:val="24"/>
          <w:szCs w:val="24"/>
        </w:rPr>
        <w:t xml:space="preserve">FREELANCE SERVICES</w:t>
      </w:r>
    </w:p>
    <w:p>
      <w:pPr>
        <w:pStyle w:val="ListParagraph"/>
        <w:numPr>
          <w:ilvl w:val="0"/>
          <w:numId w:val="2"/>
        </w:numPr>
        <w:spacing w:after="60"/>
      </w:pPr>
      <w:r>
        <w:rPr>
          <w:rFonts w:ascii="Calibri" w:cs="Calibri" w:eastAsia="Calibri" w:hAnsi="Calibri"/>
          <w:sz w:val="21"/>
          <w:szCs w:val="21"/>
        </w:rPr>
        <w:t xml:space="preserve">Research paper writing and editing</w:t>
      </w:r>
    </w:p>
    <w:p>
      <w:pPr>
        <w:pStyle w:val="ListParagraph"/>
        <w:numPr>
          <w:ilvl w:val="0"/>
          <w:numId w:val="2"/>
        </w:numPr>
        <w:spacing w:after="60"/>
      </w:pPr>
      <w:r>
        <w:rPr>
          <w:rFonts w:ascii="Calibri" w:cs="Calibri" w:eastAsia="Calibri" w:hAnsi="Calibri"/>
          <w:sz w:val="21"/>
          <w:szCs w:val="21"/>
        </w:rPr>
        <w:t xml:space="preserve">Journal formatting (IEEE, Springer, Elsevier, Taylor &amp; Francis)</w:t>
      </w:r>
    </w:p>
    <w:p>
      <w:pPr>
        <w:pStyle w:val="ListParagraph"/>
        <w:numPr>
          <w:ilvl w:val="0"/>
          <w:numId w:val="2"/>
        </w:numPr>
        <w:spacing w:after="60"/>
      </w:pPr>
      <w:r>
        <w:rPr>
          <w:rFonts w:ascii="Calibri" w:cs="Calibri" w:eastAsia="Calibri" w:hAnsi="Calibri"/>
          <w:sz w:val="21"/>
          <w:szCs w:val="21"/>
        </w:rPr>
        <w:t xml:space="preserve">Literature review and systematic review</w:t>
      </w:r>
    </w:p>
    <w:p>
      <w:pPr>
        <w:pStyle w:val="ListParagraph"/>
        <w:numPr>
          <w:ilvl w:val="0"/>
          <w:numId w:val="2"/>
        </w:numPr>
        <w:spacing w:after="60"/>
      </w:pPr>
      <w:r>
        <w:rPr>
          <w:rFonts w:ascii="Calibri" w:cs="Calibri" w:eastAsia="Calibri" w:hAnsi="Calibri"/>
          <w:sz w:val="21"/>
          <w:szCs w:val="21"/>
        </w:rPr>
        <w:t xml:space="preserve">PhD thesis writing and proofreading</w:t>
      </w:r>
    </w:p>
    <w:p>
      <w:pPr>
        <w:pStyle w:val="ListParagraph"/>
        <w:numPr>
          <w:ilvl w:val="0"/>
          <w:numId w:val="2"/>
        </w:numPr>
        <w:spacing w:after="60"/>
      </w:pPr>
      <w:r>
        <w:rPr>
          <w:rFonts w:ascii="Calibri" w:cs="Calibri" w:eastAsia="Calibri" w:hAnsi="Calibri"/>
          <w:sz w:val="21"/>
          <w:szCs w:val="21"/>
        </w:rPr>
        <w:t xml:space="preserve">Research proposal and synopsis preparation</w:t>
      </w:r>
    </w:p>
    <w:p>
      <w:pPr>
        <w:pStyle w:val="ListParagraph"/>
        <w:numPr>
          <w:ilvl w:val="0"/>
          <w:numId w:val="2"/>
        </w:numPr>
        <w:spacing w:after="60"/>
      </w:pPr>
      <w:r>
        <w:rPr>
          <w:rFonts w:ascii="Calibri" w:cs="Calibri" w:eastAsia="Calibri" w:hAnsi="Calibri"/>
          <w:sz w:val="21"/>
          <w:szCs w:val="21"/>
        </w:rPr>
        <w:t xml:space="preserve">Reviewer response preparation</w:t>
      </w:r>
    </w:p>
    <w:p>
      <w:pPr>
        <w:pStyle w:val="ListParagraph"/>
        <w:numPr>
          <w:ilvl w:val="0"/>
          <w:numId w:val="2"/>
        </w:numPr>
        <w:spacing w:after="60"/>
      </w:pPr>
      <w:r>
        <w:rPr>
          <w:rFonts w:ascii="Calibri" w:cs="Calibri" w:eastAsia="Calibri" w:hAnsi="Calibri"/>
          <w:sz w:val="21"/>
          <w:szCs w:val="21"/>
        </w:rPr>
        <w:t xml:space="preserve">Conference paper writing</w:t>
      </w:r>
    </w:p>
    <w:p>
      <w:pPr>
        <w:pStyle w:val="ListParagraph"/>
        <w:numPr>
          <w:ilvl w:val="0"/>
          <w:numId w:val="2"/>
        </w:numPr>
        <w:spacing w:after="60"/>
      </w:pPr>
      <w:r>
        <w:rPr>
          <w:rFonts w:ascii="Calibri" w:cs="Calibri" w:eastAsia="Calibri" w:hAnsi="Calibri"/>
          <w:sz w:val="21"/>
          <w:szCs w:val="21"/>
        </w:rPr>
        <w:t xml:space="preserve">Technical content writing</w:t>
      </w:r>
    </w:p>
    <w:p>
      <w:pPr>
        <w:pStyle w:val="ListParagraph"/>
        <w:numPr>
          <w:ilvl w:val="0"/>
          <w:numId w:val="2"/>
        </w:numPr>
        <w:spacing w:after="60"/>
      </w:pPr>
      <w:r>
        <w:rPr>
          <w:rFonts w:ascii="Calibri" w:cs="Calibri" w:eastAsia="Calibri" w:hAnsi="Calibri"/>
          <w:sz w:val="21"/>
          <w:szCs w:val="21"/>
        </w:rPr>
        <w:t xml:space="preserve">Academic editing and reference management</w:t>
      </w:r>
    </w:p>
    <w:p>
      <w:pPr>
        <w:pStyle w:val="ListParagraph"/>
        <w:numPr>
          <w:ilvl w:val="0"/>
          <w:numId w:val="2"/>
        </w:numPr>
        <w:spacing w:after="60"/>
      </w:pPr>
      <w:r>
        <w:rPr>
          <w:rFonts w:ascii="Calibri" w:cs="Calibri" w:eastAsia="Calibri" w:hAnsi="Calibri"/>
          <w:sz w:val="21"/>
          <w:szCs w:val="21"/>
        </w:rPr>
        <w:t xml:space="preserve">Presentation preparation</w:t>
      </w:r>
    </w:p>
    <w:p>
      <w:pPr>
        <w:pStyle w:val="ListParagraph"/>
        <w:numPr>
          <w:ilvl w:val="0"/>
          <w:numId w:val="2"/>
        </w:numPr>
        <w:spacing w:after="90"/>
      </w:pPr>
      <w:r>
        <w:rPr>
          <w:rFonts w:ascii="Calibri" w:cs="Calibri" w:eastAsia="Calibri" w:hAnsi="Calibri"/>
          <w:sz w:val="21"/>
          <w:szCs w:val="21"/>
        </w:rPr>
        <w:t xml:space="preserve">AI-assisted evaluation and technical review</w:t>
      </w:r>
    </w:p>
    <w:p>
      <w:pPr>
        <w:pBdr>
          <w:bottom w:val="single" w:color="1F3A5F" w:sz="4" w:space="2"/>
        </w:pBdr>
        <w:spacing w:after="100" w:before="220"/>
      </w:pPr>
      <w:r>
        <w:rPr>
          <w:rFonts w:ascii="Calibri" w:cs="Calibri" w:eastAsia="Calibri" w:hAnsi="Calibri"/>
          <w:b/>
          <w:bCs/>
          <w:color w:val="1F3A5F"/>
          <w:sz w:val="24"/>
          <w:szCs w:val="24"/>
        </w:rPr>
        <w:t xml:space="preserve">DOMAINS OF EXPERTISE</w:t>
      </w:r>
    </w:p>
    <w:p>
      <w:pPr>
        <w:spacing w:after="90"/>
      </w:pPr>
      <w:r>
        <w:rPr>
          <w:rFonts w:ascii="Calibri" w:cs="Calibri" w:eastAsia="Calibri" w:hAnsi="Calibri"/>
          <w:color w:val="222222"/>
          <w:sz w:val="21"/>
          <w:szCs w:val="21"/>
        </w:rPr>
        <w:t xml:space="preserve">Semiconductor Devices, FinFET Technology, CMOS, VLSI Design, Emerging Memory Technologies (Capacitorless DRAM), TCAD Simulation, Radiation Reliability, Nanoelectronics, Device Reliability Analysis, Technical Documentation.</w:t>
      </w:r>
    </w:p>
    <w:p>
      <w:pPr>
        <w:pBdr>
          <w:bottom w:val="single" w:color="1F3A5F" w:sz="4" w:space="2"/>
        </w:pBdr>
        <w:spacing w:after="100" w:before="220"/>
      </w:pPr>
      <w:r>
        <w:rPr>
          <w:rFonts w:ascii="Calibri" w:cs="Calibri" w:eastAsia="Calibri" w:hAnsi="Calibri"/>
          <w:b/>
          <w:bCs/>
          <w:color w:val="1F3A5F"/>
          <w:sz w:val="24"/>
          <w:szCs w:val="24"/>
        </w:rPr>
        <w:t xml:space="preserve">SELECTED PUBLICATIONS  —  SCI-INDEXED JOURNALS</w:t>
      </w:r>
    </w:p>
    <w:p>
      <w:pPr>
        <w:pStyle w:val="ListParagraph"/>
        <w:numPr>
          <w:ilvl w:val="0"/>
          <w:numId w:val="2"/>
        </w:numPr>
        <w:spacing w:after="60"/>
      </w:pPr>
      <w:r>
        <w:rPr>
          <w:rFonts w:ascii="Calibri" w:cs="Calibri" w:eastAsia="Calibri" w:hAnsi="Calibri"/>
          <w:i/>
          <w:iCs/>
          <w:color w:val="222222"/>
          <w:sz w:val="20"/>
          <w:szCs w:val="20"/>
        </w:rPr>
        <w:t xml:space="preserve">Improved Switching Current Ratio with Workfunction Modulated Junctionless FinFET</w:t>
      </w:r>
      <w:r>
        <w:rPr>
          <w:rFonts w:ascii="Calibri" w:cs="Calibri" w:eastAsia="Calibri" w:hAnsi="Calibri"/>
          <w:color w:val="222222"/>
          <w:sz w:val="20"/>
          <w:szCs w:val="20"/>
        </w:rPr>
        <w:t xml:space="preserve">, Silicon, Springer (2022)</w:t>
      </w:r>
      <w:r>
        <w:rPr>
          <w:rFonts w:ascii="Calibri" w:cs="Calibri" w:eastAsia="Calibri" w:hAnsi="Calibri"/>
          <w:b/>
          <w:bCs/>
          <w:color w:val="1F3A5F"/>
          <w:sz w:val="20"/>
          <w:szCs w:val="20"/>
        </w:rPr>
        <w:t xml:space="preserve">  (SCIE, IF 4.1)</w:t>
      </w:r>
    </w:p>
    <w:p>
      <w:pPr>
        <w:pStyle w:val="ListParagraph"/>
        <w:numPr>
          <w:ilvl w:val="0"/>
          <w:numId w:val="2"/>
        </w:numPr>
        <w:spacing w:after="60"/>
      </w:pPr>
      <w:r>
        <w:rPr>
          <w:rFonts w:ascii="Calibri" w:cs="Calibri" w:eastAsia="Calibri" w:hAnsi="Calibri"/>
          <w:i/>
          <w:iCs/>
          <w:color w:val="222222"/>
          <w:sz w:val="20"/>
          <w:szCs w:val="20"/>
        </w:rPr>
        <w:t xml:space="preserve">Robust Impact Ionization Driven PD-SOI FinFET Capacitorless 1T-DRAM with Low-k Spacer for Advanced Memory Applications</w:t>
      </w:r>
      <w:r>
        <w:rPr>
          <w:rFonts w:ascii="Calibri" w:cs="Calibri" w:eastAsia="Calibri" w:hAnsi="Calibri"/>
          <w:color w:val="222222"/>
          <w:sz w:val="20"/>
          <w:szCs w:val="20"/>
        </w:rPr>
        <w:t xml:space="preserve">, Journal of Solid State Science and Technology, IOP (2025)</w:t>
      </w:r>
      <w:r>
        <w:rPr>
          <w:rFonts w:ascii="Calibri" w:cs="Calibri" w:eastAsia="Calibri" w:hAnsi="Calibri"/>
          <w:b/>
          <w:bCs/>
          <w:color w:val="1F3A5F"/>
          <w:sz w:val="20"/>
          <w:szCs w:val="20"/>
        </w:rPr>
        <w:t xml:space="preserve">  (SCIE, IF 2.4)</w:t>
      </w:r>
    </w:p>
    <w:p>
      <w:pPr>
        <w:pStyle w:val="ListParagraph"/>
        <w:numPr>
          <w:ilvl w:val="0"/>
          <w:numId w:val="2"/>
        </w:numPr>
        <w:spacing w:after="60"/>
      </w:pPr>
      <w:r>
        <w:rPr>
          <w:rFonts w:ascii="Calibri" w:cs="Calibri" w:eastAsia="Calibri" w:hAnsi="Calibri"/>
          <w:i/>
          <w:iCs/>
          <w:color w:val="222222"/>
          <w:sz w:val="20"/>
          <w:szCs w:val="20"/>
        </w:rPr>
        <w:t xml:space="preserve">A Comprehensive Review of FinFET-Based Capacitorless 1T-DRAM: Design, Performance, and Reliability</w:t>
      </w:r>
      <w:r>
        <w:rPr>
          <w:rFonts w:ascii="Calibri" w:cs="Calibri" w:eastAsia="Calibri" w:hAnsi="Calibri"/>
          <w:color w:val="222222"/>
          <w:sz w:val="20"/>
          <w:szCs w:val="20"/>
        </w:rPr>
        <w:t xml:space="preserve">, Microelectronics Reliability</w:t>
      </w:r>
      <w:r>
        <w:rPr>
          <w:rFonts w:ascii="Calibri" w:cs="Calibri" w:eastAsia="Calibri" w:hAnsi="Calibri"/>
          <w:b/>
          <w:bCs/>
          <w:color w:val="1F3A5F"/>
          <w:sz w:val="20"/>
          <w:szCs w:val="20"/>
        </w:rPr>
        <w:t xml:space="preserve">  (SCIE, IF 2.5)</w:t>
      </w:r>
    </w:p>
    <w:p>
      <w:pPr>
        <w:pStyle w:val="ListParagraph"/>
        <w:numPr>
          <w:ilvl w:val="0"/>
          <w:numId w:val="2"/>
        </w:numPr>
        <w:spacing w:after="60"/>
      </w:pPr>
      <w:r>
        <w:rPr>
          <w:rFonts w:ascii="Calibri" w:cs="Calibri" w:eastAsia="Calibri" w:hAnsi="Calibri"/>
          <w:i/>
          <w:iCs/>
          <w:color w:val="222222"/>
          <w:sz w:val="20"/>
          <w:szCs w:val="20"/>
        </w:rPr>
        <w:t xml:space="preserve">Design of High-Performance Capacitorless 1T-DRAM with PDSOI UTB FinFET</w:t>
      </w:r>
      <w:r>
        <w:rPr>
          <w:rFonts w:ascii="Calibri" w:cs="Calibri" w:eastAsia="Calibri" w:hAnsi="Calibri"/>
          <w:color w:val="222222"/>
          <w:sz w:val="20"/>
          <w:szCs w:val="20"/>
        </w:rPr>
        <w:t xml:space="preserve">, Analog Integrated Circuits and Signal Processing</w:t>
      </w:r>
      <w:r>
        <w:rPr>
          <w:rFonts w:ascii="Calibri" w:cs="Calibri" w:eastAsia="Calibri" w:hAnsi="Calibri"/>
          <w:b/>
          <w:bCs/>
          <w:color w:val="1F3A5F"/>
          <w:sz w:val="20"/>
          <w:szCs w:val="20"/>
        </w:rPr>
        <w:t xml:space="preserve">  (SCIE, IF 1.8)</w:t>
      </w:r>
    </w:p>
    <w:p>
      <w:pPr>
        <w:pStyle w:val="ListParagraph"/>
        <w:numPr>
          <w:ilvl w:val="0"/>
          <w:numId w:val="2"/>
        </w:numPr>
        <w:spacing w:after="60"/>
      </w:pPr>
      <w:r>
        <w:rPr>
          <w:rFonts w:ascii="Calibri" w:cs="Calibri" w:eastAsia="Calibri" w:hAnsi="Calibri"/>
          <w:i/>
          <w:iCs/>
          <w:color w:val="222222"/>
          <w:sz w:val="20"/>
          <w:szCs w:val="20"/>
        </w:rPr>
        <w:t xml:space="preserve">Subthreshold Performance Improvement of Underlapped FinFET Using Workfunction Modulated Dual-Metal Gate Technique</w:t>
      </w:r>
      <w:r>
        <w:rPr>
          <w:rFonts w:ascii="Calibri" w:cs="Calibri" w:eastAsia="Calibri" w:hAnsi="Calibri"/>
          <w:color w:val="222222"/>
          <w:sz w:val="20"/>
          <w:szCs w:val="20"/>
        </w:rPr>
        <w:t xml:space="preserve">, Silicon, Springer (2021)</w:t>
      </w:r>
      <w:r>
        <w:rPr>
          <w:rFonts w:ascii="Calibri" w:cs="Calibri" w:eastAsia="Calibri" w:hAnsi="Calibri"/>
          <w:b/>
          <w:bCs/>
          <w:color w:val="1F3A5F"/>
          <w:sz w:val="20"/>
          <w:szCs w:val="20"/>
        </w:rPr>
        <w:t xml:space="preserve">  (SCIE, IF 4.1)</w:t>
      </w:r>
    </w:p>
    <w:p>
      <w:pPr>
        <w:pStyle w:val="ListParagraph"/>
        <w:numPr>
          <w:ilvl w:val="0"/>
          <w:numId w:val="2"/>
        </w:numPr>
        <w:spacing w:after="60"/>
      </w:pPr>
      <w:r>
        <w:rPr>
          <w:rFonts w:ascii="Calibri" w:cs="Calibri" w:eastAsia="Calibri" w:hAnsi="Calibri"/>
          <w:i/>
          <w:iCs/>
          <w:color w:val="222222"/>
          <w:sz w:val="20"/>
          <w:szCs w:val="20"/>
        </w:rPr>
        <w:t xml:space="preserve">Design of Sub-40nm FinFET Based Label-Free Biosensor</w:t>
      </w:r>
      <w:r>
        <w:rPr>
          <w:rFonts w:ascii="Calibri" w:cs="Calibri" w:eastAsia="Calibri" w:hAnsi="Calibri"/>
          <w:color w:val="222222"/>
          <w:sz w:val="20"/>
          <w:szCs w:val="20"/>
        </w:rPr>
        <w:t xml:space="preserve">, Silicon, Springer (2022, co-authored)</w:t>
      </w:r>
      <w:r>
        <w:rPr>
          <w:rFonts w:ascii="Calibri" w:cs="Calibri" w:eastAsia="Calibri" w:hAnsi="Calibri"/>
          <w:b/>
          <w:bCs/>
          <w:color w:val="1F3A5F"/>
          <w:sz w:val="20"/>
          <w:szCs w:val="20"/>
        </w:rPr>
        <w:t xml:space="preserve">  (SCIE, IF 4.1)</w:t>
      </w:r>
    </w:p>
    <w:p>
      <w:pPr>
        <w:pBdr>
          <w:bottom w:val="single" w:color="1F3A5F" w:sz="4" w:space="2"/>
        </w:pBdr>
        <w:spacing w:after="100" w:before="220"/>
      </w:pPr>
      <w:r>
        <w:rPr>
          <w:rFonts w:ascii="Calibri" w:cs="Calibri" w:eastAsia="Calibri" w:hAnsi="Calibri"/>
          <w:b/>
          <w:bCs/>
          <w:color w:val="1F3A5F"/>
          <w:sz w:val="24"/>
          <w:szCs w:val="24"/>
        </w:rPr>
        <w:t xml:space="preserve">OTHER PUBLICATIONS</w:t>
      </w:r>
    </w:p>
    <w:p>
      <w:pPr>
        <w:pStyle w:val="ListParagraph"/>
        <w:numPr>
          <w:ilvl w:val="0"/>
          <w:numId w:val="2"/>
        </w:numPr>
        <w:spacing w:after="60"/>
      </w:pPr>
      <w:r>
        <w:rPr>
          <w:rFonts w:ascii="Calibri" w:cs="Calibri" w:eastAsia="Calibri" w:hAnsi="Calibri"/>
          <w:i/>
          <w:iCs/>
          <w:color w:val="222222"/>
          <w:sz w:val="20"/>
          <w:szCs w:val="20"/>
        </w:rPr>
        <w:t xml:space="preserve">Improvement in Electrostatic Efficiency Using Workfunction Modulated Dual Metal Gate FinFET</w:t>
      </w:r>
      <w:r>
        <w:rPr>
          <w:rFonts w:ascii="Calibri" w:cs="Calibri" w:eastAsia="Calibri" w:hAnsi="Calibri"/>
          <w:color w:val="222222"/>
          <w:sz w:val="20"/>
          <w:szCs w:val="20"/>
        </w:rPr>
        <w:t xml:space="preserve">, Materials Today: Proceedings (2021)</w:t>
      </w:r>
      <w:r>
        <w:rPr>
          <w:rFonts w:ascii="Calibri" w:cs="Calibri" w:eastAsia="Calibri" w:hAnsi="Calibri"/>
          <w:b/>
          <w:bCs/>
          <w:color w:val="1F3A5F"/>
          <w:sz w:val="20"/>
          <w:szCs w:val="20"/>
        </w:rPr>
        <w:t xml:space="preserve">  (Scopus)</w:t>
      </w:r>
    </w:p>
    <w:p>
      <w:pPr>
        <w:pStyle w:val="ListParagraph"/>
        <w:numPr>
          <w:ilvl w:val="0"/>
          <w:numId w:val="2"/>
        </w:numPr>
        <w:spacing w:after="60"/>
      </w:pPr>
      <w:r>
        <w:rPr>
          <w:rFonts w:ascii="Calibri" w:cs="Calibri" w:eastAsia="Calibri" w:hAnsi="Calibri"/>
          <w:color w:val="222222"/>
          <w:sz w:val="20"/>
          <w:szCs w:val="20"/>
        </w:rPr>
        <w:t xml:space="preserve">Book Chapter — </w:t>
      </w:r>
      <w:r>
        <w:rPr>
          <w:rFonts w:ascii="Calibri" w:cs="Calibri" w:eastAsia="Calibri" w:hAnsi="Calibri"/>
          <w:i/>
          <w:iCs/>
          <w:color w:val="222222"/>
          <w:sz w:val="20"/>
          <w:szCs w:val="20"/>
        </w:rPr>
        <w:t xml:space="preserve">An Overview of FinFET Based Capacitorless 1T-DRAM</w:t>
      </w:r>
      <w:r>
        <w:rPr>
          <w:rFonts w:ascii="Calibri" w:cs="Calibri" w:eastAsia="Calibri" w:hAnsi="Calibri"/>
          <w:color w:val="222222"/>
          <w:sz w:val="20"/>
          <w:szCs w:val="20"/>
        </w:rPr>
        <w:t xml:space="preserve">, Device Circuit Co-design Issues in FETs, CRC Press / Taylor &amp; Francis (2023)</w:t>
      </w:r>
    </w:p>
    <w:p>
      <w:pPr>
        <w:pBdr>
          <w:bottom w:val="single" w:color="1F3A5F" w:sz="4" w:space="2"/>
        </w:pBdr>
        <w:spacing w:after="100" w:before="220"/>
      </w:pPr>
      <w:r>
        <w:rPr>
          <w:rFonts w:ascii="Calibri" w:cs="Calibri" w:eastAsia="Calibri" w:hAnsi="Calibri"/>
          <w:b/>
          <w:bCs/>
          <w:color w:val="1F3A5F"/>
          <w:sz w:val="24"/>
          <w:szCs w:val="24"/>
        </w:rPr>
        <w:t xml:space="preserve">CONFERENCE PAPERS</w:t>
      </w:r>
    </w:p>
    <w:p>
      <w:pPr>
        <w:pStyle w:val="ListParagraph"/>
        <w:numPr>
          <w:ilvl w:val="0"/>
          <w:numId w:val="2"/>
        </w:numPr>
        <w:spacing w:after="60"/>
      </w:pPr>
      <w:r>
        <w:rPr>
          <w:rFonts w:ascii="Calibri" w:cs="Calibri" w:eastAsia="Calibri" w:hAnsi="Calibri"/>
          <w:sz w:val="20"/>
          <w:szCs w:val="20"/>
        </w:rPr>
        <w:t xml:space="preserve">TID Response of PD-SOI FinFET with High-K Isolation, IEEE INDICON, Kochi, India (2022)</w:t>
      </w:r>
    </w:p>
    <w:p>
      <w:pPr>
        <w:pStyle w:val="ListParagraph"/>
        <w:numPr>
          <w:ilvl w:val="0"/>
          <w:numId w:val="2"/>
        </w:numPr>
        <w:spacing w:after="60"/>
      </w:pPr>
      <w:r>
        <w:rPr>
          <w:rFonts w:ascii="Calibri" w:cs="Calibri" w:eastAsia="Calibri" w:hAnsi="Calibri"/>
          <w:sz w:val="20"/>
          <w:szCs w:val="20"/>
        </w:rPr>
        <w:t xml:space="preserve">Design of Underlap PDSOI FinFET-Based Capacitorless 1T-DRAM with High-K Spacers for Enhanced Performance, IEEE DevIC, Kalyani, India (2025)</w:t>
      </w:r>
    </w:p>
    <w:p>
      <w:pPr>
        <w:pStyle w:val="ListParagraph"/>
        <w:numPr>
          <w:ilvl w:val="0"/>
          <w:numId w:val="2"/>
        </w:numPr>
        <w:spacing w:after="90"/>
      </w:pPr>
      <w:r>
        <w:rPr>
          <w:rFonts w:ascii="Calibri" w:cs="Calibri" w:eastAsia="Calibri" w:hAnsi="Calibri"/>
          <w:sz w:val="20"/>
          <w:szCs w:val="20"/>
        </w:rPr>
        <w:t xml:space="preserve">TCAD Study of SEE-Induced Reliability Analysis of PDSOI FinFET Based Capacitorless 1T-DRAM, IEEE TENCON, Kota Kinabalu, Malaysia (2025)</w:t>
      </w:r>
    </w:p>
    <w:p>
      <w:pPr>
        <w:pBdr>
          <w:bottom w:val="single" w:color="1F3A5F" w:sz="4" w:space="2"/>
        </w:pBdr>
        <w:spacing w:after="100" w:before="220"/>
      </w:pPr>
      <w:r>
        <w:rPr>
          <w:rFonts w:ascii="Calibri" w:cs="Calibri" w:eastAsia="Calibri" w:hAnsi="Calibri"/>
          <w:b/>
          <w:bCs/>
          <w:color w:val="1F3A5F"/>
          <w:sz w:val="24"/>
          <w:szCs w:val="24"/>
        </w:rPr>
        <w:t xml:space="preserve">SOFTWARE &amp; TOOLS</w:t>
      </w:r>
    </w:p>
    <w:p>
      <w:pPr>
        <w:spacing w:after="90"/>
      </w:pPr>
      <w:r>
        <w:rPr>
          <w:rFonts w:ascii="Calibri" w:cs="Calibri" w:eastAsia="Calibri" w:hAnsi="Calibri"/>
          <w:color w:val="222222"/>
          <w:sz w:val="21"/>
          <w:szCs w:val="21"/>
        </w:rPr>
        <w:t xml:space="preserve">Silvaco TCAD, Visual TCAD, Cadence Virtuoso, HSPICE, MATLAB, Origin, Linux, Verilog, Microsoft Office, LaTeX, Mendeley, ChatGPT / AI-assisted writing tools.</w:t>
      </w:r>
    </w:p>
    <w:p>
      <w:pPr>
        <w:pBdr>
          <w:bottom w:val="single" w:color="1F3A5F" w:sz="4" w:space="2"/>
        </w:pBdr>
        <w:spacing w:after="100" w:before="220"/>
      </w:pPr>
      <w:r>
        <w:rPr>
          <w:rFonts w:ascii="Calibri" w:cs="Calibri" w:eastAsia="Calibri" w:hAnsi="Calibri"/>
          <w:b/>
          <w:bCs/>
          <w:color w:val="1F3A5F"/>
          <w:sz w:val="24"/>
          <w:szCs w:val="24"/>
        </w:rPr>
        <w:t xml:space="preserve">RESEARCH CREDENTIALS</w:t>
      </w:r>
    </w:p>
    <w:p>
      <w:pPr>
        <w:pStyle w:val="ListParagraph"/>
        <w:numPr>
          <w:ilvl w:val="0"/>
          <w:numId w:val="2"/>
        </w:numPr>
        <w:spacing w:after="60"/>
      </w:pPr>
      <w:r>
        <w:rPr>
          <w:rFonts w:ascii="Calibri" w:cs="Calibri" w:eastAsia="Calibri" w:hAnsi="Calibri"/>
          <w:sz w:val="21"/>
          <w:szCs w:val="21"/>
        </w:rPr>
        <w:t xml:space="preserve">Ph.D. (Electronics &amp; Communication Engineering), NIT Raipur</w:t>
      </w:r>
    </w:p>
    <w:p>
      <w:pPr>
        <w:pStyle w:val="ListParagraph"/>
        <w:numPr>
          <w:ilvl w:val="0"/>
          <w:numId w:val="2"/>
        </w:numPr>
        <w:spacing w:after="60"/>
      </w:pPr>
      <w:r>
        <w:rPr>
          <w:rFonts w:ascii="Calibri" w:cs="Calibri" w:eastAsia="Calibri" w:hAnsi="Calibri"/>
          <w:sz w:val="21"/>
          <w:szCs w:val="21"/>
        </w:rPr>
        <w:t xml:space="preserve">7 SCI-indexed and 1 Scopus-indexed journal publications</w:t>
      </w:r>
    </w:p>
    <w:p>
      <w:pPr>
        <w:pStyle w:val="ListParagraph"/>
        <w:numPr>
          <w:ilvl w:val="0"/>
          <w:numId w:val="2"/>
        </w:numPr>
        <w:spacing w:after="60"/>
      </w:pPr>
      <w:r>
        <w:rPr>
          <w:rFonts w:ascii="Calibri" w:cs="Calibri" w:eastAsia="Calibri" w:hAnsi="Calibri"/>
          <w:sz w:val="21"/>
          <w:szCs w:val="21"/>
        </w:rPr>
        <w:t xml:space="preserve">1 Book Chapter, CRC Press / Taylor &amp; Francis</w:t>
      </w:r>
    </w:p>
    <w:p>
      <w:pPr>
        <w:pStyle w:val="ListParagraph"/>
        <w:numPr>
          <w:ilvl w:val="0"/>
          <w:numId w:val="2"/>
        </w:numPr>
        <w:spacing w:after="60"/>
      </w:pPr>
      <w:r>
        <w:rPr>
          <w:rFonts w:ascii="Calibri" w:cs="Calibri" w:eastAsia="Calibri" w:hAnsi="Calibri"/>
          <w:sz w:val="21"/>
          <w:szCs w:val="21"/>
        </w:rPr>
        <w:t xml:space="preserve">3 IEEE international conference publications</w:t>
      </w:r>
    </w:p>
    <w:p>
      <w:pPr>
        <w:pStyle w:val="ListParagraph"/>
        <w:numPr>
          <w:ilvl w:val="0"/>
          <w:numId w:val="2"/>
        </w:numPr>
        <w:spacing w:after="90"/>
      </w:pPr>
      <w:r>
        <w:rPr>
          <w:rFonts w:ascii="Calibri" w:cs="Calibri" w:eastAsia="Calibri" w:hAnsi="Calibri"/>
          <w:sz w:val="21"/>
          <w:szCs w:val="21"/>
        </w:rPr>
        <w:t xml:space="preserve">Reviewer for international peer-reviewed journals in semiconductor devices, nanoelectronics, and VLSI</w:t>
      </w:r>
    </w:p>
    <w:p>
      <w:pPr>
        <w:pBdr>
          <w:bottom w:val="single" w:color="1F3A5F" w:sz="4" w:space="2"/>
        </w:pBdr>
        <w:spacing w:after="100" w:before="220"/>
      </w:pPr>
      <w:r>
        <w:rPr>
          <w:rFonts w:ascii="Calibri" w:cs="Calibri" w:eastAsia="Calibri" w:hAnsi="Calibri"/>
          <w:b/>
          <w:bCs/>
          <w:color w:val="1F3A5F"/>
          <w:sz w:val="24"/>
          <w:szCs w:val="24"/>
        </w:rPr>
        <w:t xml:space="preserve">IDEAL PROJECTS</w:t>
      </w:r>
    </w:p>
    <w:p>
      <w:pPr>
        <w:spacing w:after="90"/>
      </w:pPr>
      <w:r>
        <w:rPr>
          <w:rFonts w:ascii="Calibri" w:cs="Calibri" w:eastAsia="Calibri" w:hAnsi="Calibri"/>
          <w:color w:val="222222"/>
          <w:sz w:val="21"/>
          <w:szCs w:val="21"/>
        </w:rPr>
        <w:t xml:space="preserve">Research papers, theses, dissertations, technical reports, white papers, journal submission support, publication consulting, AI training and technical review, technical blogs — particularly in semiconductor devices, VLSI, and memory technology.</w:t>
      </w:r>
    </w:p>
    <w:sectPr>
      <w:pgSz w:w="12240" w:h="15840" w:orient="portrait"/>
      <w:pgMar w:top="700" w:right="900" w:bottom="7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2026-07-22T05:53:21.621Z</dcterms:created>
  <dcterms:modified xsi:type="dcterms:W3CDTF">2026-07-22T05:53:21.636Z</dcterms:modified>
</cp:coreProperties>
</file>

<file path=docProps/custom.xml><?xml version="1.0" encoding="utf-8"?>
<Properties xmlns="http://schemas.openxmlformats.org/officeDocument/2006/custom-properties" xmlns:vt="http://schemas.openxmlformats.org/officeDocument/2006/docPropsVTypes"/>
</file>