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E3A1" w14:textId="77777777" w:rsidR="00440F6D" w:rsidRPr="00677327" w:rsidRDefault="00440F6D" w:rsidP="00440F6D">
      <w:pPr>
        <w:spacing w:after="0" w:line="240" w:lineRule="auto"/>
      </w:pPr>
      <w:r>
        <w:rPr>
          <w:rFonts w:ascii="Arial Narrow" w:hAnsi="Arial Narrow" w:cs="Calibri"/>
          <w:b/>
          <w:noProof/>
          <w:color w:val="000000"/>
          <w:sz w:val="24"/>
          <w:szCs w:val="24"/>
        </w:rPr>
        <w:drawing>
          <wp:inline distT="0" distB="0" distL="0" distR="0" wp14:anchorId="0E46B5E5" wp14:editId="185742FB">
            <wp:extent cx="4511175" cy="547397"/>
            <wp:effectExtent l="0" t="0" r="3810" b="5080"/>
            <wp:docPr id="1780632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2835" cy="569440"/>
                    </a:xfrm>
                    <a:prstGeom prst="rect">
                      <a:avLst/>
                    </a:prstGeom>
                    <a:noFill/>
                    <a:ln>
                      <a:noFill/>
                    </a:ln>
                  </pic:spPr>
                </pic:pic>
              </a:graphicData>
            </a:graphic>
          </wp:inline>
        </w:drawing>
      </w:r>
      <w:r>
        <w:rPr>
          <w:noProof/>
        </w:rPr>
        <w:drawing>
          <wp:inline distT="0" distB="0" distL="0" distR="0" wp14:anchorId="6D509C40" wp14:editId="33E68A2A">
            <wp:extent cx="552616" cy="552616"/>
            <wp:effectExtent l="0" t="0" r="0" b="0"/>
            <wp:docPr id="4382860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212" cy="585212"/>
                    </a:xfrm>
                    <a:prstGeom prst="rect">
                      <a:avLst/>
                    </a:prstGeom>
                    <a:noFill/>
                    <a:ln>
                      <a:noFill/>
                    </a:ln>
                  </pic:spPr>
                </pic:pic>
              </a:graphicData>
            </a:graphic>
          </wp:inline>
        </w:drawing>
      </w:r>
      <w:r>
        <w:rPr>
          <w:noProof/>
        </w:rPr>
        <w:drawing>
          <wp:inline distT="0" distB="0" distL="0" distR="0" wp14:anchorId="08110C71" wp14:editId="40F2E683">
            <wp:extent cx="648031" cy="648031"/>
            <wp:effectExtent l="0" t="0" r="0" b="0"/>
            <wp:docPr id="3276899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324" cy="670324"/>
                    </a:xfrm>
                    <a:prstGeom prst="rect">
                      <a:avLst/>
                    </a:prstGeom>
                    <a:noFill/>
                    <a:ln>
                      <a:noFill/>
                    </a:ln>
                  </pic:spPr>
                </pic:pic>
              </a:graphicData>
            </a:graphic>
          </wp:inline>
        </w:drawing>
      </w:r>
      <w:r>
        <w:rPr>
          <w:noProof/>
        </w:rPr>
        <w:drawing>
          <wp:inline distT="0" distB="0" distL="0" distR="0" wp14:anchorId="3CD2D453" wp14:editId="599C9585">
            <wp:extent cx="562911" cy="380762"/>
            <wp:effectExtent l="0" t="0" r="8890" b="635"/>
            <wp:docPr id="7317495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946" cy="401078"/>
                    </a:xfrm>
                    <a:prstGeom prst="rect">
                      <a:avLst/>
                    </a:prstGeom>
                    <a:noFill/>
                    <a:ln>
                      <a:noFill/>
                    </a:ln>
                  </pic:spPr>
                </pic:pic>
              </a:graphicData>
            </a:graphic>
          </wp:inline>
        </w:drawing>
      </w:r>
    </w:p>
    <w:p w14:paraId="226472AE" w14:textId="00B41EF6" w:rsidR="00440F6D" w:rsidRPr="00440F6D" w:rsidRDefault="00440F6D" w:rsidP="00440F6D">
      <w:pPr>
        <w:spacing w:after="0" w:line="240" w:lineRule="auto"/>
        <w:jc w:val="center"/>
      </w:pPr>
      <w:r w:rsidRPr="006D677E">
        <w:rPr>
          <w:b/>
          <w:bCs/>
          <w:sz w:val="56"/>
          <w:szCs w:val="56"/>
        </w:rPr>
        <w:t>Desidi Narsimha Reddy</w:t>
      </w:r>
      <w:r>
        <w:rPr>
          <w:b/>
          <w:bCs/>
          <w:sz w:val="56"/>
          <w:szCs w:val="56"/>
        </w:rPr>
        <w:t xml:space="preserve"> </w:t>
      </w:r>
    </w:p>
    <w:p w14:paraId="4F62CEE4" w14:textId="4063AA2F" w:rsidR="00E52ED1" w:rsidRPr="00440F6D" w:rsidRDefault="00000000">
      <w:pPr>
        <w:rPr>
          <w:sz w:val="20"/>
          <w:szCs w:val="20"/>
        </w:rPr>
      </w:pPr>
      <w:r w:rsidRPr="00440F6D">
        <w:rPr>
          <w:sz w:val="20"/>
          <w:szCs w:val="20"/>
        </w:rPr>
        <w:t xml:space="preserve">📞 +1 (346) 397-4568 | ✉️ chinni31072000@gmail.com | 🔗 </w:t>
      </w:r>
      <w:hyperlink r:id="rId10" w:history="1">
        <w:r w:rsidR="00E52ED1" w:rsidRPr="00440F6D">
          <w:rPr>
            <w:rStyle w:val="Hyperlink"/>
            <w:sz w:val="20"/>
            <w:szCs w:val="20"/>
          </w:rPr>
          <w:t>LinkedIn</w:t>
        </w:r>
      </w:hyperlink>
      <w:r w:rsidRPr="00440F6D">
        <w:rPr>
          <w:sz w:val="20"/>
          <w:szCs w:val="20"/>
        </w:rPr>
        <w:t xml:space="preserve"> | 🧠 </w:t>
      </w:r>
      <w:hyperlink r:id="rId11" w:history="1">
        <w:r w:rsidR="00E52ED1" w:rsidRPr="00440F6D">
          <w:rPr>
            <w:rStyle w:val="Hyperlink"/>
            <w:sz w:val="20"/>
            <w:szCs w:val="20"/>
          </w:rPr>
          <w:t>Google Scholar</w:t>
        </w:r>
      </w:hyperlink>
      <w:r w:rsidRPr="00440F6D">
        <w:rPr>
          <w:sz w:val="20"/>
          <w:szCs w:val="20"/>
        </w:rPr>
        <w:t xml:space="preserve"> | 🔬 </w:t>
      </w:r>
      <w:hyperlink r:id="rId12" w:history="1">
        <w:r w:rsidR="00E52ED1" w:rsidRPr="00440F6D">
          <w:rPr>
            <w:rStyle w:val="Hyperlink"/>
            <w:sz w:val="20"/>
            <w:szCs w:val="20"/>
          </w:rPr>
          <w:t>ResearchGate</w:t>
        </w:r>
      </w:hyperlink>
    </w:p>
    <w:p w14:paraId="1CA7D9FF" w14:textId="77777777" w:rsidR="00E52ED1" w:rsidRDefault="00000000" w:rsidP="00440F6D">
      <w:pPr>
        <w:pStyle w:val="Heading1"/>
        <w:spacing w:before="0"/>
      </w:pPr>
      <w:bookmarkStart w:id="0" w:name="_Hlk213677376"/>
      <w:r>
        <w:t>SUMMARY</w:t>
      </w:r>
    </w:p>
    <w:bookmarkEnd w:id="0"/>
    <w:p w14:paraId="6E62C4F4" w14:textId="77777777" w:rsidR="00E52ED1" w:rsidRDefault="00000000">
      <w:r>
        <w:t>Visionary data and technology executive with 20+ years leading global data strategy, governance, and AI-driven transformation across Fortune 500 enterprises. Expert in architecting modern data ecosystems leveraging Oracle EPM (FCCS, EDMCS, ARCS, TRCS, PCMCS, DRM), Collibra, Informatica, and cloud-native (AWS &amp; Azure) platforms. Recognized for converting AI/ML research into actionable business innovation, driving regulatory compliance, and enabling data-driven decision-making at the enterprise level. Experienced in managing multi-million-dollar portfolios, building global teams, and advising C-suite leadership on data monetization, governance, and intelligent automation.</w:t>
      </w:r>
    </w:p>
    <w:p w14:paraId="5E2AC31E" w14:textId="77777777" w:rsidR="00E52ED1" w:rsidRDefault="00000000">
      <w:pPr>
        <w:pStyle w:val="Heading1"/>
      </w:pPr>
      <w:r>
        <w:t>CERTIFICATIONS</w:t>
      </w:r>
    </w:p>
    <w:p w14:paraId="298C471E" w14:textId="77777777" w:rsidR="00E52ED1" w:rsidRDefault="00000000">
      <w:r>
        <w:t>Enterprise &amp; Cloud Platforms: Oracle FCCS, PCMCS, DRM, HFM, Planning (Certified Implementation Specialist) • AWS Certified Associate Architect • Microsoft Azure Certified Professional Solution Architect</w:t>
      </w:r>
      <w:r>
        <w:br/>
        <w:t>Data Governance &amp; Analytics: Collibra Level III Certified • Collibra MDG Architect • Anaplan Level 3 Model Builder • Informatica Certified Developer &amp; Admin</w:t>
      </w:r>
      <w:r>
        <w:br/>
        <w:t>Leadership &amp; Project Management: PMP (Certified by PMI) • ITIL Certified • Purdue University – AI &amp; ML Postgraduate Program</w:t>
      </w:r>
    </w:p>
    <w:p w14:paraId="05910EFC" w14:textId="77777777" w:rsidR="00E52ED1" w:rsidRDefault="00000000">
      <w:pPr>
        <w:pStyle w:val="Heading1"/>
      </w:pPr>
      <w:r>
        <w:t>KEY IMPACT HIGHLIGHTS</w:t>
      </w:r>
    </w:p>
    <w:p w14:paraId="28F89F28" w14:textId="77777777" w:rsidR="00E52ED1" w:rsidRDefault="00000000">
      <w:pPr>
        <w:pStyle w:val="ListBullet"/>
      </w:pPr>
      <w:r>
        <w:t>Directed global digital transformation initiatives in Finance, EPM, and Data Governance, achieving 40% faster close cycles and 65% metadata automation efficiency gains.</w:t>
      </w:r>
    </w:p>
    <w:p w14:paraId="64FE918E" w14:textId="77777777" w:rsidR="00E52ED1" w:rsidRDefault="00000000">
      <w:pPr>
        <w:pStyle w:val="ListBullet"/>
      </w:pPr>
      <w:r>
        <w:t>Built and chaired enterprise Data Governance Councils, improving master-data accuracy by 60% and strengthening regulatory compliance.</w:t>
      </w:r>
    </w:p>
    <w:p w14:paraId="1522CE21" w14:textId="77777777" w:rsidR="00E52ED1" w:rsidRDefault="00000000">
      <w:pPr>
        <w:pStyle w:val="ListBullet"/>
      </w:pPr>
      <w:r>
        <w:t>Led $2M+ delivery portfolios across multi-region teams, achieving 100% on-time, high-quality delivery for top-tier clients.</w:t>
      </w:r>
    </w:p>
    <w:p w14:paraId="734A7DC9" w14:textId="77777777" w:rsidR="00E52ED1" w:rsidRDefault="00000000">
      <w:pPr>
        <w:pStyle w:val="ListBullet"/>
      </w:pPr>
      <w:r>
        <w:t>Implemented AI-driven forecasting and reconciliation frameworks within FCCS / ARCS, integrating predictive analytics for proactive financial management.</w:t>
      </w:r>
    </w:p>
    <w:p w14:paraId="0BC871E6" w14:textId="77777777" w:rsidR="00E52ED1" w:rsidRDefault="00000000">
      <w:pPr>
        <w:pStyle w:val="ListBullet"/>
      </w:pPr>
      <w:r>
        <w:t>Published 40+ research papers and 9 books on AI, Business Analytics, and Data Governance, advancing industry thought leadership.</w:t>
      </w:r>
    </w:p>
    <w:p w14:paraId="23C62AFF" w14:textId="77777777" w:rsidR="00E52ED1" w:rsidRDefault="00000000">
      <w:pPr>
        <w:pStyle w:val="ListBullet"/>
      </w:pPr>
      <w:r>
        <w:t>Recipient of multiple leadership and customer excellence awards for innovation in enterprise data architecture.</w:t>
      </w:r>
    </w:p>
    <w:p w14:paraId="046C3316" w14:textId="77777777" w:rsidR="00E52ED1" w:rsidRDefault="00000000">
      <w:pPr>
        <w:pStyle w:val="Heading1"/>
      </w:pPr>
      <w:r>
        <w:lastRenderedPageBreak/>
        <w:t>RESEARCH &amp; THOUGHT LEADERSHIP</w:t>
      </w:r>
    </w:p>
    <w:p w14:paraId="45F07A2E" w14:textId="77777777" w:rsidR="00E52ED1" w:rsidRDefault="00000000">
      <w:r>
        <w:t>AI &amp; Data Governance Researcher with 130+ citations and 1,000+ reads, recognized globally for bridging AI/ML innovation with enterprise strategy.</w:t>
      </w:r>
      <w:r>
        <w:br/>
        <w:t>- Authored 40+ peer-reviewed papers and 9 books (IEEE, Elsevier, Scopus-indexed) focused on Federated Learning, Responsible AI, and Data Governance Frameworks.</w:t>
      </w:r>
      <w:r>
        <w:br/>
        <w:t>- Key contributor to 15 IEEE conferences on AI in Finance, Healthcare, Cybersecurity, and Blockchain.</w:t>
      </w:r>
      <w:r>
        <w:br/>
        <w:t>- Established global academic-industry collaborations translating research into predictive analytics and intelligent automation use cases.</w:t>
      </w:r>
    </w:p>
    <w:p w14:paraId="358C107A" w14:textId="77777777" w:rsidR="00E52ED1" w:rsidRDefault="00000000">
      <w:pPr>
        <w:pStyle w:val="Heading1"/>
      </w:pPr>
      <w:r>
        <w:t>PROFESSIONAL EXPERIENCE</w:t>
      </w:r>
    </w:p>
    <w:p w14:paraId="5960E306" w14:textId="77777777" w:rsidR="00E52ED1" w:rsidRDefault="00000000">
      <w:pPr>
        <w:pStyle w:val="Heading2"/>
      </w:pPr>
      <w:r>
        <w:t>EPM / ERP Implementation &amp; Architecture | Financial, Media, Retail &amp; Technology Platforms</w:t>
      </w:r>
    </w:p>
    <w:p w14:paraId="74F23AB0" w14:textId="77777777" w:rsidR="00E52ED1" w:rsidRDefault="00000000">
      <w:r>
        <w:t>Clients: NetApp, ConnectOne Bank, GAP Inc, AT&amp;T, GameStop, Vanguard, Digital First Media, Papa John’s, Turner Broadcasting, Liberty Mutual, Desjardins, Reckitt Benckiser, Kraft Foods, PPG, McGraw Hill</w:t>
      </w:r>
    </w:p>
    <w:p w14:paraId="0BC26628" w14:textId="77777777" w:rsidR="00E52ED1" w:rsidRDefault="00000000">
      <w:r>
        <w:t>Environment: Oracle EPM Cloud (FCCS, ARCS, EPBCS, PCMCS, TRCS, EDMCS, DRM), Anaplan, Informatica Cloud, EPM Automate, REST APIs, AWS, SAP HANA</w:t>
      </w:r>
    </w:p>
    <w:p w14:paraId="3BD5B585" w14:textId="77777777" w:rsidR="00E52ED1" w:rsidRDefault="00000000">
      <w:pPr>
        <w:pStyle w:val="ListBullet"/>
      </w:pPr>
      <w:r>
        <w:t>Directed end-to-end EPM implementations aligning finance modernization with strategic business objectives across banking, retail, and media clients.</w:t>
      </w:r>
    </w:p>
    <w:p w14:paraId="10A17082" w14:textId="77777777" w:rsidR="00E52ED1" w:rsidRDefault="00000000">
      <w:pPr>
        <w:pStyle w:val="ListBullet"/>
      </w:pPr>
      <w:r>
        <w:t>Delivered enterprise finance automation for NetApp, integrating 32 ERP systems and multi-currency consolidations for 30+ legal entities.</w:t>
      </w:r>
    </w:p>
    <w:p w14:paraId="1C65DFC1" w14:textId="77777777" w:rsidR="00E52ED1" w:rsidRDefault="00000000">
      <w:pPr>
        <w:pStyle w:val="ListBullet"/>
      </w:pPr>
      <w:r>
        <w:t>Built unified planning architecture for ConnectOne Bank, merging legacy BSO cubes into ASO cloud applications with Fusion ERP integration.</w:t>
      </w:r>
    </w:p>
    <w:p w14:paraId="0B45AF41" w14:textId="77777777" w:rsidR="00E52ED1" w:rsidRDefault="00000000">
      <w:pPr>
        <w:pStyle w:val="ListBullet"/>
      </w:pPr>
      <w:r>
        <w:t>Implemented enterprise wide allocation models and metadata automation frameworks for GAP Inc and AT&amp;T.</w:t>
      </w:r>
    </w:p>
    <w:p w14:paraId="0B6116AD" w14:textId="77777777" w:rsidR="00E52ED1" w:rsidRDefault="00000000">
      <w:pPr>
        <w:pStyle w:val="ListBullet"/>
      </w:pPr>
      <w:r>
        <w:t>Deployed Vanguard’s EPM suite with AWS for forecasting and data traceability via Python and Groovy automation.</w:t>
      </w:r>
    </w:p>
    <w:p w14:paraId="26AF97F5" w14:textId="77777777" w:rsidR="00E52ED1" w:rsidRDefault="00000000">
      <w:pPr>
        <w:pStyle w:val="ListBullet"/>
      </w:pPr>
      <w:r>
        <w:t>Led ARCS configurations with 7000+ profiles and 25+ formats for enterprise reconciliation management.</w:t>
      </w:r>
    </w:p>
    <w:p w14:paraId="396552D1" w14:textId="77777777" w:rsidR="00E52ED1" w:rsidRDefault="00000000">
      <w:pPr>
        <w:pStyle w:val="ListBullet"/>
      </w:pPr>
      <w:r>
        <w:t>Delivered profitability models (PCMCS/HPCM) and narrative reporting dashboards spanning 90+ entities.</w:t>
      </w:r>
    </w:p>
    <w:p w14:paraId="7F26FA55" w14:textId="77777777" w:rsidR="00E52ED1" w:rsidRDefault="00000000">
      <w:pPr>
        <w:pStyle w:val="ListBullet"/>
      </w:pPr>
      <w:r>
        <w:t>Managed onshore–offshore delivery teams for 10+ programs totaling &gt;$2M, ensuring agile governance and client success.</w:t>
      </w:r>
    </w:p>
    <w:p w14:paraId="155E89FD" w14:textId="77777777" w:rsidR="00E52ED1" w:rsidRDefault="00000000">
      <w:pPr>
        <w:pStyle w:val="Heading2"/>
      </w:pPr>
      <w:r>
        <w:t>Data Governance, Quality &amp; Metadata Management | Telecom, Pharma, Insurance &amp; Media Platforms</w:t>
      </w:r>
    </w:p>
    <w:p w14:paraId="66E0732B" w14:textId="77777777" w:rsidR="00E52ED1" w:rsidRDefault="00000000">
      <w:r>
        <w:t>Clients: Univisa Television, Ulta Beauty, Genentech, T-Mobile, Pacific Life Insurance, Vanguard, Turner Broadcasting, Papa John’s, Digital First Media, Liberty Mutual, Reckitt Benckiser, Citi Group</w:t>
      </w:r>
    </w:p>
    <w:p w14:paraId="4BAF24AB" w14:textId="77777777" w:rsidR="00E52ED1" w:rsidRDefault="00000000">
      <w:r>
        <w:t>Environment: Collibra (5.x / 4.6), Alation, Axon, DRG, MDG, MuleSoft, Informatica DQ, BIG ID, Python, AWS, GCP, Snowflake, Confluence</w:t>
      </w:r>
    </w:p>
    <w:p w14:paraId="191E8B1E" w14:textId="77777777" w:rsidR="00E52ED1" w:rsidRDefault="00000000">
      <w:pPr>
        <w:pStyle w:val="ListBullet"/>
      </w:pPr>
      <w:r>
        <w:lastRenderedPageBreak/>
        <w:t>Led enterprise Data Governance transformations using Collibra, Informatica DQ, and MuleSoft to automate metadata and lineage management.</w:t>
      </w:r>
    </w:p>
    <w:p w14:paraId="43CBACF4" w14:textId="77777777" w:rsidR="00E52ED1" w:rsidRDefault="00000000">
      <w:pPr>
        <w:pStyle w:val="ListBullet"/>
      </w:pPr>
      <w:r>
        <w:t>Architected scalable data ecosystems integrating 15+ enterprise sources (Oracle, Workday, GCP, AWS).</w:t>
      </w:r>
    </w:p>
    <w:p w14:paraId="77B6E92D" w14:textId="77777777" w:rsidR="00E52ED1" w:rsidRDefault="00000000">
      <w:pPr>
        <w:pStyle w:val="ListBullet"/>
      </w:pPr>
      <w:r>
        <w:t>Designed metadata models, business glossaries, and approval workflows to enable policy alignment and data stewardship.</w:t>
      </w:r>
    </w:p>
    <w:p w14:paraId="3F1C49B3" w14:textId="77777777" w:rsidR="00E52ED1" w:rsidRDefault="00000000">
      <w:pPr>
        <w:pStyle w:val="ListBullet"/>
      </w:pPr>
      <w:r>
        <w:t>Delivered Genentech’s FDA-compliant governance framework for clinical data on Snowflake and AWS.</w:t>
      </w:r>
    </w:p>
    <w:p w14:paraId="3B4436AA" w14:textId="77777777" w:rsidR="00E52ED1" w:rsidRDefault="00000000">
      <w:pPr>
        <w:pStyle w:val="ListBullet"/>
      </w:pPr>
      <w:r>
        <w:t>Integrated BIG ID for automated PII classification and data retention governance under CCPA.</w:t>
      </w:r>
    </w:p>
    <w:p w14:paraId="42F1DB0B" w14:textId="77777777" w:rsidR="00E52ED1" w:rsidRDefault="00000000">
      <w:pPr>
        <w:pStyle w:val="ListBullet"/>
      </w:pPr>
      <w:r>
        <w:t>Developed MuleSoft and Python-based lineage automation pipelines linking Collibra with ServiceNow and AWS Glue.</w:t>
      </w:r>
    </w:p>
    <w:p w14:paraId="536D132E" w14:textId="77777777" w:rsidR="00E52ED1" w:rsidRDefault="00000000">
      <w:pPr>
        <w:pStyle w:val="ListBullet"/>
      </w:pPr>
      <w:r>
        <w:t>Directed data quality rule development and monitoring for multi-domain data assets across insurance and media clients.</w:t>
      </w:r>
    </w:p>
    <w:p w14:paraId="1A85B1EA" w14:textId="77777777" w:rsidR="00E52ED1" w:rsidRDefault="00000000">
      <w:pPr>
        <w:pStyle w:val="ListBullet"/>
      </w:pPr>
      <w:r>
        <w:t>Delivered data lineage coverage &gt;95% and policy adoption across enterprise programs spanning Finance, Telecom, and Retail.</w:t>
      </w:r>
    </w:p>
    <w:p w14:paraId="16072E8F" w14:textId="77777777" w:rsidR="00E52ED1" w:rsidRDefault="00000000">
      <w:pPr>
        <w:pStyle w:val="Heading2"/>
      </w:pPr>
      <w:r>
        <w:t>AI &amp; ML Strategy &amp; Implementation | Enterprise Data &amp; Research Integration</w:t>
      </w:r>
    </w:p>
    <w:p w14:paraId="2C91E18B" w14:textId="77777777" w:rsidR="00E52ED1" w:rsidRDefault="00000000">
      <w:r>
        <w:t>Clients / Industries: Financial Services, Technology, Healthcare, Retail &amp; Media</w:t>
      </w:r>
    </w:p>
    <w:p w14:paraId="738650CF" w14:textId="77777777" w:rsidR="00E52ED1" w:rsidRDefault="00000000">
      <w:r>
        <w:t>Environment: Python, R, AWS SageMaker, Azure ML, TensorFlow, PyTorch, Databricks, Spark, Kubernetes</w:t>
      </w:r>
    </w:p>
    <w:p w14:paraId="02D701B3" w14:textId="77777777" w:rsidR="00E52ED1" w:rsidRDefault="00000000">
      <w:pPr>
        <w:pStyle w:val="ListBullet"/>
      </w:pPr>
      <w:r>
        <w:t>Directed enterprise-wide AI &amp; predictive analytics programs, aligning ML model governance with strategic business outcomes.</w:t>
      </w:r>
    </w:p>
    <w:p w14:paraId="0D68E41B" w14:textId="77777777" w:rsidR="00E52ED1" w:rsidRDefault="00000000">
      <w:pPr>
        <w:pStyle w:val="ListBullet"/>
      </w:pPr>
      <w:r>
        <w:t>Architected real-time ML inference ecosystems on Kafka, Spark, and SageMaker for fraud detection and financial forecasting.</w:t>
      </w:r>
    </w:p>
    <w:p w14:paraId="0C039C82" w14:textId="77777777" w:rsidR="00E52ED1" w:rsidRDefault="00000000">
      <w:pPr>
        <w:pStyle w:val="ListBullet"/>
      </w:pPr>
      <w:r>
        <w:t>Led deep learning initiatives using PyTorch and TensorFlow for customer segmentation and demand forecasting (ROI +35%).</w:t>
      </w:r>
    </w:p>
    <w:p w14:paraId="0197D04B" w14:textId="77777777" w:rsidR="00E52ED1" w:rsidRDefault="00000000">
      <w:pPr>
        <w:pStyle w:val="ListBullet"/>
      </w:pPr>
      <w:r>
        <w:t>Established MLOps and Model Governance frameworks with automated versioning, lineage, and ethical AI controls.</w:t>
      </w:r>
    </w:p>
    <w:p w14:paraId="381E6F0A" w14:textId="77777777" w:rsidR="00E52ED1" w:rsidRDefault="00000000">
      <w:pPr>
        <w:pStyle w:val="ListBullet"/>
      </w:pPr>
      <w:r>
        <w:t>Bridged academic research and enterprise application, operationalizing Federated Learning and Responsible AI in healthcare analytics.</w:t>
      </w:r>
    </w:p>
    <w:p w14:paraId="0296A968" w14:textId="77777777" w:rsidR="00E52ED1" w:rsidRDefault="00000000">
      <w:pPr>
        <w:pStyle w:val="ListBullet"/>
      </w:pPr>
      <w:r>
        <w:t>Championed Responsible AI governance, bias mitigation, and explainable ML dashboards for regulatory transparency.</w:t>
      </w:r>
    </w:p>
    <w:p w14:paraId="68EDA065" w14:textId="77777777" w:rsidR="00E52ED1" w:rsidRDefault="00000000">
      <w:pPr>
        <w:pStyle w:val="ListBullet"/>
      </w:pPr>
      <w:r>
        <w:t>Integrated ML capabilities into EPM and Data Governance systems, enabling predictive forecasting and anomaly detection at scale.</w:t>
      </w:r>
    </w:p>
    <w:p w14:paraId="7F2F2393" w14:textId="77777777" w:rsidR="00E52ED1" w:rsidRDefault="00000000">
      <w:pPr>
        <w:pStyle w:val="Heading2"/>
      </w:pPr>
      <w:r>
        <w:t>Additional Projects (Prior to 2015) | Manufacturing, Consumer Goods, Publishing &amp; Financial Services</w:t>
      </w:r>
    </w:p>
    <w:p w14:paraId="4E74A9ED" w14:textId="77777777" w:rsidR="00E52ED1" w:rsidRDefault="00000000">
      <w:r>
        <w:t>Worked across global enterprises as an EPM &amp; Data Governance Consultant, delivering Oracle Hyperion, Collibra, and Data Integration solutions for organizations including Reckitt Benckiser, Kraft Foods, PPG Industries, McGraw Hill, Citi Group, Sara Lee, and ConAgra Foods. Engagements spanned Oracle EPM (HFM, Planning, DRM, Essbase) and Data Quality automation integrating Informatica, Cognos, and SAP HANA platforms.</w:t>
      </w:r>
    </w:p>
    <w:p w14:paraId="6CA7B5BF" w14:textId="77777777" w:rsidR="00E52ED1" w:rsidRDefault="00000000">
      <w:pPr>
        <w:pStyle w:val="Heading1"/>
      </w:pPr>
      <w:r>
        <w:lastRenderedPageBreak/>
        <w:t>ENTERPRISE DATA &amp; TECHNICAL LEADERSHIP COMPETENCIES</w:t>
      </w:r>
    </w:p>
    <w:p w14:paraId="78F4599E" w14:textId="77777777" w:rsidR="00E52ED1" w:rsidRDefault="00000000">
      <w:pPr>
        <w:pStyle w:val="ListBullet"/>
      </w:pPr>
      <w:r>
        <w:t>EPM &amp; ERP Leadership: FCCS, ARCS, TRCS, PCMCS, EPBCS/PBCS, EDMCS, DRM – solution architecture and automation.</w:t>
      </w:r>
    </w:p>
    <w:p w14:paraId="511EFEB4" w14:textId="77777777" w:rsidR="00E52ED1" w:rsidRDefault="00000000">
      <w:pPr>
        <w:pStyle w:val="ListBullet"/>
      </w:pPr>
      <w:r>
        <w:t>Financial Domain Expertise: Consolidation, Reconciliation, Profitability, Tax Reporting (IFRS/GAAP).</w:t>
      </w:r>
    </w:p>
    <w:p w14:paraId="2D1E266B" w14:textId="77777777" w:rsidR="00E52ED1" w:rsidRDefault="00000000">
      <w:pPr>
        <w:pStyle w:val="ListBullet"/>
      </w:pPr>
      <w:r>
        <w:t>Data Governance &amp; Integration: Collibra, Informatica, MuleSoft, AWS Glue – metadata &amp; lineage automation.</w:t>
      </w:r>
    </w:p>
    <w:p w14:paraId="78B4A757" w14:textId="77777777" w:rsidR="00E52ED1" w:rsidRDefault="00000000">
      <w:pPr>
        <w:pStyle w:val="ListBullet"/>
      </w:pPr>
      <w:r>
        <w:t>Advanced Planning Platforms: Anaplan and IBM TM1 – driver-based forecasting and strategic scenario modeling.</w:t>
      </w:r>
    </w:p>
    <w:p w14:paraId="4584B7F4" w14:textId="77777777" w:rsidR="00E52ED1" w:rsidRDefault="00000000">
      <w:pPr>
        <w:pStyle w:val="ListBullet"/>
      </w:pPr>
      <w:r>
        <w:t>Automation &amp; Scripting: Python, Groovy, SQL, REST APIs – reducing manual reconciliation and cycle times.</w:t>
      </w:r>
    </w:p>
    <w:p w14:paraId="0F91F585" w14:textId="77777777" w:rsidR="00E52ED1" w:rsidRDefault="00000000">
      <w:pPr>
        <w:pStyle w:val="ListBullet"/>
      </w:pPr>
      <w:r>
        <w:t>Cloud &amp; Architecture: AWS, Azure, GCP – data lake integration and compliance-ready infrastructure.</w:t>
      </w:r>
    </w:p>
    <w:p w14:paraId="6D8495AD" w14:textId="77777777" w:rsidR="00E52ED1" w:rsidRDefault="00000000">
      <w:pPr>
        <w:pStyle w:val="Heading1"/>
      </w:pPr>
      <w:r>
        <w:t>EDUCATION &amp; CREDENTIALS</w:t>
      </w:r>
    </w:p>
    <w:p w14:paraId="126F0E0E" w14:textId="77777777" w:rsidR="00E52ED1" w:rsidRDefault="00000000">
      <w:pPr>
        <w:pStyle w:val="ListBullet"/>
      </w:pPr>
      <w:r>
        <w:t>Postgraduate Program in AI &amp; Machine Learning, Purdue University</w:t>
      </w:r>
    </w:p>
    <w:p w14:paraId="497ADA78" w14:textId="77777777" w:rsidR="00E52ED1" w:rsidRDefault="00000000">
      <w:pPr>
        <w:pStyle w:val="ListBullet"/>
      </w:pPr>
      <w:r>
        <w:t>MBA in Finance &amp; Information Systems, Mahatma Gandhi University, India</w:t>
      </w:r>
    </w:p>
    <w:p w14:paraId="091C0DF5" w14:textId="77777777" w:rsidR="00E52ED1" w:rsidRDefault="00000000">
      <w:pPr>
        <w:pStyle w:val="ListBullet"/>
      </w:pPr>
      <w:r>
        <w:t>B.Tech in Computer Science, Vinayaka Missions Research Foundation University, India</w:t>
      </w:r>
    </w:p>
    <w:p w14:paraId="145013BF" w14:textId="77777777" w:rsidR="00E52ED1" w:rsidRDefault="00000000">
      <w:pPr>
        <w:pStyle w:val="ListBullet"/>
      </w:pPr>
      <w:r>
        <w:t>Executive Certificate in Business Analytics, The Wharton School – University of Pennsylvania</w:t>
      </w:r>
    </w:p>
    <w:sectPr w:rsidR="00E52ED1" w:rsidSect="00440F6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38" style="width:0;height:1.5pt" o:hralign="center" o:bullet="t" o:hrstd="t" o:hr="t" fillcolor="#a0a0a0" stroked="f"/>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AB20A6D"/>
    <w:multiLevelType w:val="hybridMultilevel"/>
    <w:tmpl w:val="2DD0D432"/>
    <w:lvl w:ilvl="0" w:tplc="0B02B76E">
      <w:start w:val="1"/>
      <w:numFmt w:val="bullet"/>
      <w:lvlText w:val=""/>
      <w:lvlPicBulletId w:val="0"/>
      <w:lvlJc w:val="left"/>
      <w:pPr>
        <w:tabs>
          <w:tab w:val="num" w:pos="720"/>
        </w:tabs>
        <w:ind w:left="720" w:hanging="360"/>
      </w:pPr>
      <w:rPr>
        <w:rFonts w:ascii="Symbol" w:hAnsi="Symbol" w:hint="default"/>
      </w:rPr>
    </w:lvl>
    <w:lvl w:ilvl="1" w:tplc="A154A52C" w:tentative="1">
      <w:start w:val="1"/>
      <w:numFmt w:val="bullet"/>
      <w:lvlText w:val=""/>
      <w:lvlJc w:val="left"/>
      <w:pPr>
        <w:tabs>
          <w:tab w:val="num" w:pos="1440"/>
        </w:tabs>
        <w:ind w:left="1440" w:hanging="360"/>
      </w:pPr>
      <w:rPr>
        <w:rFonts w:ascii="Symbol" w:hAnsi="Symbol" w:hint="default"/>
      </w:rPr>
    </w:lvl>
    <w:lvl w:ilvl="2" w:tplc="18888242" w:tentative="1">
      <w:start w:val="1"/>
      <w:numFmt w:val="bullet"/>
      <w:lvlText w:val=""/>
      <w:lvlJc w:val="left"/>
      <w:pPr>
        <w:tabs>
          <w:tab w:val="num" w:pos="2160"/>
        </w:tabs>
        <w:ind w:left="2160" w:hanging="360"/>
      </w:pPr>
      <w:rPr>
        <w:rFonts w:ascii="Symbol" w:hAnsi="Symbol" w:hint="default"/>
      </w:rPr>
    </w:lvl>
    <w:lvl w:ilvl="3" w:tplc="AE464AD2" w:tentative="1">
      <w:start w:val="1"/>
      <w:numFmt w:val="bullet"/>
      <w:lvlText w:val=""/>
      <w:lvlJc w:val="left"/>
      <w:pPr>
        <w:tabs>
          <w:tab w:val="num" w:pos="2880"/>
        </w:tabs>
        <w:ind w:left="2880" w:hanging="360"/>
      </w:pPr>
      <w:rPr>
        <w:rFonts w:ascii="Symbol" w:hAnsi="Symbol" w:hint="default"/>
      </w:rPr>
    </w:lvl>
    <w:lvl w:ilvl="4" w:tplc="EB2A4056" w:tentative="1">
      <w:start w:val="1"/>
      <w:numFmt w:val="bullet"/>
      <w:lvlText w:val=""/>
      <w:lvlJc w:val="left"/>
      <w:pPr>
        <w:tabs>
          <w:tab w:val="num" w:pos="3600"/>
        </w:tabs>
        <w:ind w:left="3600" w:hanging="360"/>
      </w:pPr>
      <w:rPr>
        <w:rFonts w:ascii="Symbol" w:hAnsi="Symbol" w:hint="default"/>
      </w:rPr>
    </w:lvl>
    <w:lvl w:ilvl="5" w:tplc="B868E6CA" w:tentative="1">
      <w:start w:val="1"/>
      <w:numFmt w:val="bullet"/>
      <w:lvlText w:val=""/>
      <w:lvlJc w:val="left"/>
      <w:pPr>
        <w:tabs>
          <w:tab w:val="num" w:pos="4320"/>
        </w:tabs>
        <w:ind w:left="4320" w:hanging="360"/>
      </w:pPr>
      <w:rPr>
        <w:rFonts w:ascii="Symbol" w:hAnsi="Symbol" w:hint="default"/>
      </w:rPr>
    </w:lvl>
    <w:lvl w:ilvl="6" w:tplc="521C79A2" w:tentative="1">
      <w:start w:val="1"/>
      <w:numFmt w:val="bullet"/>
      <w:lvlText w:val=""/>
      <w:lvlJc w:val="left"/>
      <w:pPr>
        <w:tabs>
          <w:tab w:val="num" w:pos="5040"/>
        </w:tabs>
        <w:ind w:left="5040" w:hanging="360"/>
      </w:pPr>
      <w:rPr>
        <w:rFonts w:ascii="Symbol" w:hAnsi="Symbol" w:hint="default"/>
      </w:rPr>
    </w:lvl>
    <w:lvl w:ilvl="7" w:tplc="A43ADA58" w:tentative="1">
      <w:start w:val="1"/>
      <w:numFmt w:val="bullet"/>
      <w:lvlText w:val=""/>
      <w:lvlJc w:val="left"/>
      <w:pPr>
        <w:tabs>
          <w:tab w:val="num" w:pos="5760"/>
        </w:tabs>
        <w:ind w:left="5760" w:hanging="360"/>
      </w:pPr>
      <w:rPr>
        <w:rFonts w:ascii="Symbol" w:hAnsi="Symbol" w:hint="default"/>
      </w:rPr>
    </w:lvl>
    <w:lvl w:ilvl="8" w:tplc="FD1A526C" w:tentative="1">
      <w:start w:val="1"/>
      <w:numFmt w:val="bullet"/>
      <w:lvlText w:val=""/>
      <w:lvlJc w:val="left"/>
      <w:pPr>
        <w:tabs>
          <w:tab w:val="num" w:pos="6480"/>
        </w:tabs>
        <w:ind w:left="6480" w:hanging="360"/>
      </w:pPr>
      <w:rPr>
        <w:rFonts w:ascii="Symbol" w:hAnsi="Symbol" w:hint="default"/>
      </w:rPr>
    </w:lvl>
  </w:abstractNum>
  <w:num w:numId="1" w16cid:durableId="677346302">
    <w:abstractNumId w:val="8"/>
  </w:num>
  <w:num w:numId="2" w16cid:durableId="1920943047">
    <w:abstractNumId w:val="6"/>
  </w:num>
  <w:num w:numId="3" w16cid:durableId="686179041">
    <w:abstractNumId w:val="5"/>
  </w:num>
  <w:num w:numId="4" w16cid:durableId="1865290307">
    <w:abstractNumId w:val="4"/>
  </w:num>
  <w:num w:numId="5" w16cid:durableId="2139299938">
    <w:abstractNumId w:val="7"/>
  </w:num>
  <w:num w:numId="6" w16cid:durableId="1087919460">
    <w:abstractNumId w:val="3"/>
  </w:num>
  <w:num w:numId="7" w16cid:durableId="1055399326">
    <w:abstractNumId w:val="2"/>
  </w:num>
  <w:num w:numId="8" w16cid:durableId="552349146">
    <w:abstractNumId w:val="1"/>
  </w:num>
  <w:num w:numId="9" w16cid:durableId="1813402626">
    <w:abstractNumId w:val="0"/>
  </w:num>
  <w:num w:numId="10" w16cid:durableId="824710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7A09"/>
    <w:rsid w:val="0015074B"/>
    <w:rsid w:val="0029639D"/>
    <w:rsid w:val="002D31D8"/>
    <w:rsid w:val="00326F90"/>
    <w:rsid w:val="00440F6D"/>
    <w:rsid w:val="00AA1D8D"/>
    <w:rsid w:val="00B47730"/>
    <w:rsid w:val="00B9666D"/>
    <w:rsid w:val="00CB0664"/>
    <w:rsid w:val="00E52E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3D3A6C"/>
  <w14:defaultImageDpi w14:val="300"/>
  <w15:docId w15:val="{E3571A2A-D0E4-4DE3-BC29-2C7099EB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40F6D"/>
    <w:rPr>
      <w:color w:val="0000FF" w:themeColor="hyperlink"/>
      <w:u w:val="single"/>
    </w:rPr>
  </w:style>
  <w:style w:type="character" w:styleId="FollowedHyperlink">
    <w:name w:val="FollowedHyperlink"/>
    <w:basedOn w:val="DefaultParagraphFont"/>
    <w:uiPriority w:val="99"/>
    <w:semiHidden/>
    <w:unhideWhenUsed/>
    <w:rsid w:val="00440F6D"/>
    <w:rPr>
      <w:color w:val="800080" w:themeColor="followedHyperlink"/>
      <w:u w:val="single"/>
    </w:rPr>
  </w:style>
  <w:style w:type="character" w:styleId="UnresolvedMention">
    <w:name w:val="Unresolved Mention"/>
    <w:basedOn w:val="DefaultParagraphFont"/>
    <w:uiPriority w:val="99"/>
    <w:semiHidden/>
    <w:unhideWhenUsed/>
    <w:rsid w:val="0044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scholar.google.com/citations?user=VfXOKr0AAAAJ&amp;hl=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cholar.google.com/citations?user=VfXOKr0AAAAJ&amp;hl=en" TargetMode="External"/><Relationship Id="rId5" Type="http://schemas.openxmlformats.org/officeDocument/2006/relationships/webSettings" Target="webSettings.xml"/><Relationship Id="rId10" Type="http://schemas.openxmlformats.org/officeDocument/2006/relationships/hyperlink" Target="https://www.linkedin.com/in/dknr1980/"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Narsimha Reddy Desidi</cp:lastModifiedBy>
  <cp:revision>2</cp:revision>
  <dcterms:created xsi:type="dcterms:W3CDTF">2025-11-14T16:57:00Z</dcterms:created>
  <dcterms:modified xsi:type="dcterms:W3CDTF">2025-11-14T16:57:00Z</dcterms:modified>
  <cp:category/>
</cp:coreProperties>
</file>